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546679ds1a.htm"/>
        <w:bookmarkStart w:id="1" w:name="ksd546679ds1a"/>
        <w:bookmarkEnd w:id="0"/>
        <w:bookmarkEnd w:id="1"/>
        <w:r>
          <w:rPr>
            <w:rStyle w:val="InternetLink"/>
            <w:b/>
            <w:sz w:val="20"/>
          </w:rPr>
          <w:t>Table of Contents</w:t>
        </w:r>
      </w:hyperlink>
    </w:p>
    <w:p>
      <w:pPr>
        <w:pStyle w:val="TextBody"/>
        <w:bidi w:val="0"/>
        <w:spacing w:before="0" w:after="0"/>
        <w:jc w:val="center"/>
        <w:rPr>
          <w:rFonts w:ascii="Times New Roman" w:hAnsi="Times New Roman"/>
          <w:b/>
          <w:sz w:val="16"/>
        </w:rPr>
      </w:pPr>
      <w:r>
        <w:rPr>
          <w:rFonts w:ascii="Times New Roman" w:hAnsi="Times New Roman"/>
          <w:b/>
          <w:sz w:val="16"/>
        </w:rPr>
        <w:t xml:space="preserve">As filed with the Securities and Exchange Commission on September 18, 2026. </w:t>
      </w:r>
    </w:p>
    <w:p>
      <w:pPr>
        <w:pStyle w:val="TextBody"/>
        <w:bidi w:val="0"/>
        <w:spacing w:before="0" w:after="0"/>
        <w:jc w:val="right"/>
        <w:rPr>
          <w:rFonts w:ascii="Times New Roman" w:hAnsi="Times New Roman"/>
          <w:b/>
          <w:sz w:val="16"/>
        </w:rPr>
      </w:pPr>
      <w:r>
        <w:rPr>
          <w:rFonts w:ascii="Times New Roman" w:hAnsi="Times New Roman"/>
          <w:b/>
          <w:sz w:val="16"/>
        </w:rPr>
        <w:t xml:space="preserve">Registration No. 333-298837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2"/>
        </w:rPr>
      </w:pPr>
      <w:r>
        <w:rPr>
          <w:rFonts w:ascii="Times New Roman" w:hAnsi="Times New Roman"/>
          <w:b/>
          <w:sz w:val="32"/>
        </w:rPr>
        <w:t xml:space="preserve">UNITED STATES </w:t>
      </w:r>
    </w:p>
    <w:p>
      <w:pPr>
        <w:pStyle w:val="TextBody"/>
        <w:bidi w:val="0"/>
        <w:spacing w:before="0" w:after="0"/>
        <w:jc w:val="center"/>
        <w:rPr>
          <w:rFonts w:ascii="Times New Roman" w:hAnsi="Times New Roman"/>
          <w:b/>
          <w:sz w:val="32"/>
        </w:rPr>
      </w:pPr>
      <w:r>
        <w:rPr>
          <w:rFonts w:ascii="Times New Roman" w:hAnsi="Times New Roman"/>
          <w:b/>
          <w:sz w:val="32"/>
        </w:rPr>
        <w:t xml:space="preserve">SECURITIES AND EXCHANGE COMMISSION </w:t>
      </w:r>
    </w:p>
    <w:p>
      <w:pPr>
        <w:pStyle w:val="TextBody"/>
        <w:bidi w:val="0"/>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2"/>
        </w:rPr>
      </w:pPr>
      <w:r>
        <w:rPr>
          <w:rFonts w:ascii="Times New Roman" w:hAnsi="Times New Roman"/>
          <w:b/>
          <w:sz w:val="32"/>
        </w:rPr>
        <w:t xml:space="preserve">AMENDMENT NO. 1 TO </w:t>
      </w:r>
    </w:p>
    <w:p>
      <w:pPr>
        <w:pStyle w:val="TextBody"/>
        <w:bidi w:val="0"/>
        <w:spacing w:before="0" w:after="0"/>
        <w:jc w:val="center"/>
        <w:rPr>
          <w:rFonts w:ascii="Times New Roman" w:hAnsi="Times New Roman"/>
          <w:b/>
          <w:sz w:val="32"/>
        </w:rPr>
      </w:pPr>
      <w:r>
        <w:rPr>
          <w:rFonts w:ascii="Times New Roman" w:hAnsi="Times New Roman"/>
          <w:b/>
          <w:sz w:val="32"/>
        </w:rPr>
        <w:t xml:space="preserve">FORM S-1 </w:t>
      </w:r>
    </w:p>
    <w:p>
      <w:pPr>
        <w:pStyle w:val="TextBody"/>
        <w:bidi w:val="0"/>
        <w:spacing w:before="0" w:after="0"/>
        <w:jc w:val="center"/>
        <w:rPr>
          <w:rFonts w:ascii="Times New Roman" w:hAnsi="Times New Roman"/>
          <w:b/>
          <w:sz w:val="32"/>
        </w:rPr>
      </w:pPr>
      <w:r>
        <w:rPr>
          <w:rFonts w:ascii="Times New Roman" w:hAnsi="Times New Roman"/>
          <w:b/>
          <w:sz w:val="32"/>
        </w:rPr>
        <w:t xml:space="preserve">REGISTRATION STATEMENT </w:t>
      </w:r>
    </w:p>
    <w:p>
      <w:pPr>
        <w:pStyle w:val="TextBody"/>
        <w:bidi w:val="0"/>
        <w:spacing w:before="0" w:after="0"/>
        <w:jc w:val="center"/>
        <w:rPr>
          <w:rFonts w:ascii="Times New Roman" w:hAnsi="Times New Roman"/>
          <w:b/>
          <w:i/>
          <w:sz w:val="20"/>
        </w:rPr>
      </w:pPr>
      <w:r>
        <w:rPr>
          <w:rFonts w:ascii="Times New Roman" w:hAnsi="Times New Roman"/>
          <w:b/>
          <w:i/>
          <w:sz w:val="20"/>
        </w:rPr>
        <w:t xml:space="preserve">UNDER </w:t>
      </w:r>
    </w:p>
    <w:p>
      <w:pPr>
        <w:pStyle w:val="TextBody"/>
        <w:bidi w:val="0"/>
        <w:spacing w:before="0" w:after="0"/>
        <w:jc w:val="center"/>
        <w:rPr>
          <w:rFonts w:ascii="Times New Roman" w:hAnsi="Times New Roman"/>
          <w:b/>
          <w:i/>
          <w:sz w:val="20"/>
        </w:rPr>
      </w:pPr>
      <w:r>
        <w:rPr>
          <w:rFonts w:ascii="Times New Roman" w:hAnsi="Times New Roman"/>
          <w:b/>
          <w:i/>
          <w:sz w:val="20"/>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4"/>
        </w:rPr>
      </w:pPr>
      <w:r>
        <w:rPr>
          <w:rFonts w:ascii="Times New Roman" w:hAnsi="Times New Roman"/>
          <w:b/>
          <w:sz w:val="44"/>
        </w:rPr>
        <w:t xml:space="preserve">MapLight Therapeutics, Inc. </w:t>
      </w:r>
    </w:p>
    <w:p>
      <w:pPr>
        <w:pStyle w:val="TextBody"/>
        <w:bidi w:val="0"/>
        <w:spacing w:before="0" w:after="0"/>
        <w:jc w:val="center"/>
        <w:rPr>
          <w:rFonts w:ascii="Times New Roman" w:hAnsi="Times New Roman"/>
          <w:b/>
          <w:sz w:val="16"/>
        </w:rPr>
      </w:pPr>
      <w:r>
        <w:rPr>
          <w:rFonts w:ascii="Times New Roman" w:hAnsi="Times New Roman"/>
          <w:b/>
          <w:sz w:val="16"/>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9"/>
        <w:gridCol w:w="101"/>
        <w:gridCol w:w="3267"/>
        <w:gridCol w:w="101"/>
        <w:gridCol w:w="3267"/>
      </w:tblGrid>
      <w:tr>
        <w:trPr/>
        <w:tc>
          <w:tcPr>
            <w:tcW w:w="346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69" w:type="dxa"/>
            <w:tcBorders/>
          </w:tcPr>
          <w:p>
            <w:pPr>
              <w:pStyle w:val="TableContents"/>
              <w:bidi w:val="0"/>
              <w:spacing w:before="0" w:after="283"/>
              <w:jc w:val="center"/>
              <w:rPr>
                <w:b/>
              </w:rPr>
            </w:pPr>
            <w:r>
              <w:rPr>
                <w:b/>
              </w:rPr>
              <w:t>Delaware</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2834</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83-2163243</w:t>
            </w:r>
          </w:p>
        </w:tc>
      </w:tr>
      <w:tr>
        <w:trPr/>
        <w:tc>
          <w:tcPr>
            <w:tcW w:w="3469" w:type="dxa"/>
            <w:tcBorders/>
          </w:tcPr>
          <w:p>
            <w:pPr>
              <w:pStyle w:val="TableContents"/>
              <w:bidi w:val="0"/>
              <w:spacing w:before="0" w:after="0"/>
              <w:jc w:val="center"/>
              <w:rPr>
                <w:rFonts w:ascii="Times New Roman" w:hAnsi="Times New Roman"/>
                <w:b/>
                <w:sz w:val="14"/>
              </w:rPr>
            </w:pPr>
            <w:r>
              <w:rPr>
                <w:rFonts w:ascii="Times New Roman" w:hAnsi="Times New Roman"/>
                <w:b/>
                <w:sz w:val="14"/>
              </w:rPr>
              <w:t>(State or Other Jurisdiction of</w:t>
            </w:r>
          </w:p>
          <w:p>
            <w:pPr>
              <w:pStyle w:val="TableContents"/>
              <w:bidi w:val="0"/>
              <w:spacing w:before="0" w:after="20"/>
              <w:jc w:val="center"/>
              <w:rPr>
                <w:rFonts w:ascii="Times New Roman" w:hAnsi="Times New Roman"/>
                <w:b/>
                <w:sz w:val="14"/>
              </w:rPr>
            </w:pPr>
            <w:r>
              <w:rPr>
                <w:rFonts w:ascii="Times New Roman" w:hAnsi="Times New Roman"/>
                <w:b/>
                <w:sz w:val="14"/>
              </w:rPr>
              <w:t>Incorporation or Organization)</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Times New Roman" w:hAnsi="Times New Roman"/>
                <w:b/>
                <w:sz w:val="14"/>
              </w:rPr>
            </w:pPr>
            <w:r>
              <w:rPr>
                <w:rFonts w:ascii="Times New Roman" w:hAnsi="Times New Roman"/>
                <w:b/>
                <w:sz w:val="14"/>
              </w:rPr>
              <w:t>(Primary Standard Industrial</w:t>
            </w:r>
          </w:p>
          <w:p>
            <w:pPr>
              <w:pStyle w:val="TableContents"/>
              <w:bidi w:val="0"/>
              <w:spacing w:before="0" w:after="20"/>
              <w:jc w:val="center"/>
              <w:rPr>
                <w:rFonts w:ascii="Times New Roman" w:hAnsi="Times New Roman"/>
                <w:b/>
                <w:sz w:val="14"/>
              </w:rPr>
            </w:pPr>
            <w:r>
              <w:rPr>
                <w:rFonts w:ascii="Times New Roman" w:hAnsi="Times New Roman"/>
                <w:b/>
                <w:sz w:val="14"/>
              </w:rPr>
              <w:t>Classification Code Number)</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Times New Roman" w:hAnsi="Times New Roman"/>
                <w:b/>
                <w:sz w:val="14"/>
              </w:rPr>
            </w:pPr>
            <w:r>
              <w:rPr>
                <w:rFonts w:ascii="Times New Roman" w:hAnsi="Times New Roman"/>
                <w:b/>
                <w:sz w:val="14"/>
              </w:rPr>
              <w:t>(I.R.S. Employer</w:t>
            </w:r>
          </w:p>
          <w:p>
            <w:pPr>
              <w:pStyle w:val="TableContents"/>
              <w:bidi w:val="0"/>
              <w:spacing w:before="0" w:after="20"/>
              <w:jc w:val="center"/>
              <w:rPr>
                <w:rFonts w:ascii="Times New Roman" w:hAnsi="Times New Roman"/>
                <w:b/>
                <w:sz w:val="14"/>
              </w:rPr>
            </w:pPr>
            <w:r>
              <w:rPr>
                <w:rFonts w:ascii="Times New Roman" w:hAnsi="Times New Roman"/>
                <w:b/>
                <w:sz w:val="14"/>
              </w:rPr>
              <w:t>Identification Number)</w:t>
            </w:r>
          </w:p>
        </w:tc>
      </w:tr>
    </w:tbl>
    <w:p>
      <w:pPr>
        <w:pStyle w:val="TextBody"/>
        <w:bidi w:val="0"/>
        <w:spacing w:before="240" w:after="0"/>
        <w:jc w:val="center"/>
        <w:rPr>
          <w:rFonts w:ascii="Times New Roman" w:hAnsi="Times New Roman"/>
          <w:b/>
          <w:sz w:val="16"/>
        </w:rPr>
      </w:pPr>
      <w:r>
        <w:rPr>
          <w:rFonts w:ascii="Times New Roman" w:hAnsi="Times New Roman"/>
          <w:b/>
          <w:sz w:val="16"/>
        </w:rPr>
        <w:t xml:space="preserve">800 Chesapeake Drive </w:t>
      </w:r>
    </w:p>
    <w:p>
      <w:pPr>
        <w:pStyle w:val="TextBody"/>
        <w:bidi w:val="0"/>
        <w:spacing w:before="0" w:after="0"/>
        <w:jc w:val="center"/>
        <w:rPr>
          <w:rFonts w:ascii="Times New Roman" w:hAnsi="Times New Roman"/>
          <w:b/>
          <w:sz w:val="16"/>
        </w:rPr>
      </w:pPr>
      <w:r>
        <w:rPr>
          <w:rFonts w:ascii="Times New Roman" w:hAnsi="Times New Roman"/>
          <w:b/>
          <w:sz w:val="16"/>
        </w:rPr>
        <w:t xml:space="preserve">Redwood City, California 94063 </w:t>
      </w:r>
    </w:p>
    <w:p>
      <w:pPr>
        <w:pStyle w:val="TextBody"/>
        <w:bidi w:val="0"/>
        <w:spacing w:before="0" w:after="0"/>
        <w:jc w:val="center"/>
        <w:rPr>
          <w:rFonts w:ascii="Times New Roman" w:hAnsi="Times New Roman"/>
          <w:b/>
          <w:sz w:val="16"/>
        </w:rPr>
      </w:pPr>
      <w:r>
        <w:rPr>
          <w:rFonts w:ascii="Times New Roman" w:hAnsi="Times New Roman"/>
          <w:b/>
          <w:sz w:val="16"/>
        </w:rPr>
        <w:t xml:space="preserve">(617) 984-6300 </w:t>
      </w:r>
    </w:p>
    <w:p>
      <w:pPr>
        <w:pStyle w:val="TextBody"/>
        <w:bidi w:val="0"/>
        <w:spacing w:before="0" w:after="0"/>
        <w:jc w:val="center"/>
        <w:rPr>
          <w:rFonts w:ascii="Times New Roman" w:hAnsi="Times New Roman"/>
          <w:b/>
          <w:sz w:val="14"/>
        </w:rPr>
      </w:pPr>
      <w:r>
        <w:rPr>
          <w:rFonts w:ascii="Times New Roman" w:hAnsi="Times New Roman"/>
          <w:b/>
          <w:sz w:val="14"/>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16"/>
        </w:rPr>
      </w:pPr>
      <w:r>
        <w:rPr>
          <w:rFonts w:ascii="Times New Roman" w:hAnsi="Times New Roman"/>
          <w:b/>
          <w:sz w:val="16"/>
        </w:rPr>
        <w:t xml:space="preserve">Christopher A. Kroeger, M.D. </w:t>
      </w:r>
    </w:p>
    <w:p>
      <w:pPr>
        <w:pStyle w:val="TextBody"/>
        <w:bidi w:val="0"/>
        <w:spacing w:before="0" w:after="0"/>
        <w:jc w:val="center"/>
        <w:rPr>
          <w:rFonts w:ascii="Times New Roman" w:hAnsi="Times New Roman"/>
          <w:b/>
          <w:sz w:val="16"/>
        </w:rPr>
      </w:pPr>
      <w:r>
        <w:rPr>
          <w:rFonts w:ascii="Times New Roman" w:hAnsi="Times New Roman"/>
          <w:b/>
          <w:sz w:val="16"/>
        </w:rPr>
        <w:t xml:space="preserve">MapLight Therapeutics, Inc. </w:t>
      </w:r>
    </w:p>
    <w:p>
      <w:pPr>
        <w:pStyle w:val="TextBody"/>
        <w:bidi w:val="0"/>
        <w:spacing w:before="0" w:after="0"/>
        <w:jc w:val="center"/>
        <w:rPr>
          <w:rFonts w:ascii="Times New Roman" w:hAnsi="Times New Roman"/>
          <w:b/>
          <w:sz w:val="16"/>
        </w:rPr>
      </w:pPr>
      <w:r>
        <w:rPr>
          <w:rFonts w:ascii="Times New Roman" w:hAnsi="Times New Roman"/>
          <w:b/>
          <w:sz w:val="16"/>
        </w:rPr>
        <w:t xml:space="preserve">800 Chesapeake Drive </w:t>
      </w:r>
    </w:p>
    <w:p>
      <w:pPr>
        <w:pStyle w:val="TextBody"/>
        <w:bidi w:val="0"/>
        <w:spacing w:before="0" w:after="0"/>
        <w:jc w:val="center"/>
        <w:rPr>
          <w:rFonts w:ascii="Times New Roman" w:hAnsi="Times New Roman"/>
          <w:b/>
          <w:sz w:val="16"/>
        </w:rPr>
      </w:pPr>
      <w:r>
        <w:rPr>
          <w:rFonts w:ascii="Times New Roman" w:hAnsi="Times New Roman"/>
          <w:b/>
          <w:sz w:val="16"/>
        </w:rPr>
        <w:t xml:space="preserve">Redwood City, California 94063 </w:t>
      </w:r>
    </w:p>
    <w:p>
      <w:pPr>
        <w:pStyle w:val="TextBody"/>
        <w:bidi w:val="0"/>
        <w:spacing w:before="0" w:after="0"/>
        <w:jc w:val="center"/>
        <w:rPr>
          <w:rFonts w:ascii="Times New Roman" w:hAnsi="Times New Roman"/>
          <w:b/>
          <w:sz w:val="16"/>
        </w:rPr>
      </w:pPr>
      <w:r>
        <w:rPr>
          <w:rFonts w:ascii="Times New Roman" w:hAnsi="Times New Roman"/>
          <w:b/>
          <w:sz w:val="16"/>
        </w:rPr>
        <w:t xml:space="preserve">(617) 984-6300 </w:t>
      </w:r>
    </w:p>
    <w:p>
      <w:pPr>
        <w:pStyle w:val="TextBody"/>
        <w:bidi w:val="0"/>
        <w:spacing w:before="0" w:after="0"/>
        <w:jc w:val="center"/>
        <w:rPr>
          <w:rFonts w:ascii="Times New Roman" w:hAnsi="Times New Roman"/>
          <w:b/>
          <w:sz w:val="14"/>
        </w:rPr>
      </w:pPr>
      <w:r>
        <w:rPr>
          <w:rFonts w:ascii="Times New Roman" w:hAnsi="Times New Roman"/>
          <w:b/>
          <w:sz w:val="14"/>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i/>
          <w:sz w:val="16"/>
        </w:rPr>
      </w:pPr>
      <w:r>
        <w:rPr>
          <w:rFonts w:ascii="Times New Roman" w:hAnsi="Times New Roman"/>
          <w:b/>
          <w:i/>
          <w:sz w:val="16"/>
        </w:rPr>
        <w:t xml:space="preserve">Copies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1"/>
        <w:gridCol w:w="4950"/>
      </w:tblGrid>
      <w:tr>
        <w:trPr/>
        <w:tc>
          <w:tcPr>
            <w:tcW w:w="5154"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950"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0"/>
              <w:jc w:val="center"/>
              <w:rPr>
                <w:rFonts w:ascii="Times New Roman" w:hAnsi="Times New Roman"/>
                <w:b/>
                <w:sz w:val="16"/>
              </w:rPr>
            </w:pPr>
            <w:r>
              <w:rPr>
                <w:rFonts w:ascii="Times New Roman" w:hAnsi="Times New Roman"/>
                <w:b/>
                <w:sz w:val="16"/>
              </w:rPr>
              <w:t>Christian E. Plaza</w:t>
            </w:r>
          </w:p>
          <w:p>
            <w:pPr>
              <w:pStyle w:val="TableContents"/>
              <w:bidi w:val="0"/>
              <w:spacing w:before="0" w:after="0"/>
              <w:jc w:val="center"/>
              <w:rPr>
                <w:rFonts w:ascii="Times New Roman" w:hAnsi="Times New Roman"/>
                <w:b/>
                <w:sz w:val="16"/>
              </w:rPr>
            </w:pPr>
            <w:r>
              <w:rPr>
                <w:rFonts w:ascii="Times New Roman" w:hAnsi="Times New Roman"/>
                <w:b/>
                <w:sz w:val="16"/>
              </w:rPr>
              <w:t>Mark Ballantyne</w:t>
            </w:r>
          </w:p>
          <w:p>
            <w:pPr>
              <w:pStyle w:val="TableContents"/>
              <w:bidi w:val="0"/>
              <w:spacing w:before="0" w:after="0"/>
              <w:jc w:val="center"/>
              <w:rPr>
                <w:rFonts w:ascii="Times New Roman" w:hAnsi="Times New Roman"/>
                <w:b/>
                <w:sz w:val="16"/>
              </w:rPr>
            </w:pPr>
            <w:r>
              <w:rPr>
                <w:rFonts w:ascii="Times New Roman" w:hAnsi="Times New Roman"/>
                <w:b/>
                <w:sz w:val="16"/>
              </w:rPr>
              <w:t>Madison A. Jones</w:t>
            </w:r>
          </w:p>
          <w:p>
            <w:pPr>
              <w:pStyle w:val="TableContents"/>
              <w:bidi w:val="0"/>
              <w:spacing w:before="0" w:after="0"/>
              <w:jc w:val="center"/>
              <w:rPr>
                <w:rFonts w:ascii="Times New Roman" w:hAnsi="Times New Roman"/>
                <w:b/>
                <w:sz w:val="16"/>
              </w:rPr>
            </w:pPr>
            <w:r>
              <w:rPr>
                <w:rFonts w:ascii="Times New Roman" w:hAnsi="Times New Roman"/>
                <w:b/>
                <w:sz w:val="16"/>
              </w:rPr>
              <w:t>David Brinton</w:t>
            </w:r>
          </w:p>
          <w:p>
            <w:pPr>
              <w:pStyle w:val="TableContents"/>
              <w:bidi w:val="0"/>
              <w:spacing w:before="0" w:after="0"/>
              <w:jc w:val="center"/>
              <w:rPr>
                <w:rFonts w:ascii="Times New Roman" w:hAnsi="Times New Roman"/>
                <w:b/>
                <w:sz w:val="16"/>
              </w:rPr>
            </w:pPr>
            <w:r>
              <w:rPr>
                <w:rFonts w:ascii="Times New Roman" w:hAnsi="Times New Roman"/>
                <w:b/>
                <w:sz w:val="16"/>
              </w:rPr>
              <w:t>Cooley LLP</w:t>
            </w:r>
          </w:p>
          <w:p>
            <w:pPr>
              <w:pStyle w:val="TableContents"/>
              <w:bidi w:val="0"/>
              <w:spacing w:before="0" w:after="20"/>
              <w:jc w:val="center"/>
              <w:rPr>
                <w:rFonts w:ascii="Times New Roman" w:hAnsi="Times New Roman"/>
                <w:b/>
                <w:sz w:val="16"/>
              </w:rPr>
            </w:pPr>
            <w:r>
              <w:rPr>
                <w:rFonts w:ascii="Times New Roman" w:hAnsi="Times New Roman"/>
                <w:b/>
                <w:sz w:val="16"/>
              </w:rPr>
              <w:t>11951 Freedom Drive</w:t>
              <w:br/>
              <w:t>Reston, Virginia 20190</w:t>
              <w:br/>
              <w:t>(703) 456-8000</w:t>
            </w:r>
          </w:p>
        </w:tc>
        <w:tc>
          <w:tcPr>
            <w:tcW w:w="101" w:type="dxa"/>
            <w:tcBorders/>
            <w:vAlign w:val="bottom"/>
          </w:tcPr>
          <w:p>
            <w:pPr>
              <w:pStyle w:val="TableContents"/>
              <w:bidi w:val="0"/>
              <w:spacing w:before="0" w:after="283"/>
              <w:jc w:val="left"/>
              <w:rPr/>
            </w:pPr>
            <w:r>
              <w:rPr/>
              <w:t> </w:t>
            </w:r>
          </w:p>
        </w:tc>
        <w:tc>
          <w:tcPr>
            <w:tcW w:w="4950" w:type="dxa"/>
            <w:tcBorders/>
          </w:tcPr>
          <w:p>
            <w:pPr>
              <w:pStyle w:val="TableContents"/>
              <w:bidi w:val="0"/>
              <w:spacing w:before="0" w:after="0"/>
              <w:jc w:val="center"/>
              <w:rPr>
                <w:rFonts w:ascii="Times New Roman" w:hAnsi="Times New Roman"/>
                <w:b/>
                <w:sz w:val="16"/>
              </w:rPr>
            </w:pPr>
            <w:r>
              <w:rPr>
                <w:rFonts w:ascii="Times New Roman" w:hAnsi="Times New Roman"/>
                <w:b/>
                <w:sz w:val="16"/>
              </w:rPr>
              <w:t>Kristopher L. Hanson</w:t>
            </w:r>
          </w:p>
          <w:p>
            <w:pPr>
              <w:pStyle w:val="TableContents"/>
              <w:bidi w:val="0"/>
              <w:spacing w:before="0" w:after="0"/>
              <w:jc w:val="center"/>
              <w:rPr>
                <w:rFonts w:ascii="Times New Roman" w:hAnsi="Times New Roman"/>
                <w:b/>
                <w:sz w:val="16"/>
              </w:rPr>
            </w:pPr>
            <w:r>
              <w:rPr>
                <w:rFonts w:ascii="Times New Roman" w:hAnsi="Times New Roman"/>
                <w:b/>
                <w:sz w:val="16"/>
              </w:rPr>
              <w:t>MapLight Therapeutics, Inc.</w:t>
            </w:r>
          </w:p>
          <w:p>
            <w:pPr>
              <w:pStyle w:val="TableContents"/>
              <w:bidi w:val="0"/>
              <w:spacing w:before="0" w:after="0"/>
              <w:jc w:val="center"/>
              <w:rPr>
                <w:rFonts w:ascii="Times New Roman" w:hAnsi="Times New Roman"/>
                <w:b/>
                <w:sz w:val="16"/>
              </w:rPr>
            </w:pPr>
            <w:r>
              <w:rPr>
                <w:rFonts w:ascii="Times New Roman" w:hAnsi="Times New Roman"/>
                <w:b/>
                <w:sz w:val="16"/>
              </w:rPr>
              <w:t>800 Chesapeake Drive</w:t>
            </w:r>
          </w:p>
          <w:p>
            <w:pPr>
              <w:pStyle w:val="TableContents"/>
              <w:bidi w:val="0"/>
              <w:spacing w:before="0" w:after="0"/>
              <w:jc w:val="center"/>
              <w:rPr>
                <w:rFonts w:ascii="Times New Roman" w:hAnsi="Times New Roman"/>
                <w:b/>
                <w:sz w:val="16"/>
              </w:rPr>
            </w:pPr>
            <w:r>
              <w:rPr>
                <w:rFonts w:ascii="Times New Roman" w:hAnsi="Times New Roman"/>
                <w:b/>
                <w:sz w:val="16"/>
              </w:rPr>
              <w:t>Redwood City, California 94063</w:t>
            </w:r>
          </w:p>
          <w:p>
            <w:pPr>
              <w:pStyle w:val="TableContents"/>
              <w:bidi w:val="0"/>
              <w:spacing w:before="0" w:after="20"/>
              <w:jc w:val="center"/>
              <w:rPr>
                <w:rFonts w:ascii="Times New Roman" w:hAnsi="Times New Roman"/>
                <w:b/>
                <w:sz w:val="16"/>
              </w:rPr>
            </w:pPr>
            <w:r>
              <w:rPr>
                <w:rFonts w:ascii="Times New Roman" w:hAnsi="Times New Roman"/>
                <w:b/>
                <w:sz w:val="16"/>
              </w:rPr>
              <w:t>(617) 984-6300</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16"/>
        </w:rPr>
      </w:pPr>
      <w:r>
        <w:rPr>
          <w:rFonts w:ascii="Times New Roman" w:hAnsi="Times New Roman"/>
          <w:b/>
          <w:sz w:val="16"/>
        </w:rPr>
        <w:t>Approximate date of commencement of proposed sale to the public:</w:t>
      </w:r>
      <w:r>
        <w:rPr>
          <w:rFonts w:ascii="Times New Roman" w:hAnsi="Times New Roman"/>
          <w:sz w:val="16"/>
        </w:rPr>
        <w:t xml:space="preserve"> From time to time after the effective date of this registration statement. </w:t>
      </w:r>
    </w:p>
    <w:p>
      <w:pPr>
        <w:pStyle w:val="TextBody"/>
        <w:bidi w:val="0"/>
        <w:spacing w:before="240" w:after="0"/>
        <w:jc w:val="left"/>
        <w:rPr>
          <w:rFonts w:ascii="Times New Roman" w:hAnsi="Times New Roman"/>
          <w:sz w:val="16"/>
        </w:rPr>
      </w:pPr>
      <w:r>
        <w:rPr>
          <w:rFonts w:ascii="Times New Roman" w:hAnsi="Times New Roman"/>
          <w:sz w:val="16"/>
        </w:rPr>
        <w:t xml:space="preserve">If any of the securities being registered on this Form are to be offered on a delayed or continuous basis pursuant to Rule 415 under the Securities Act of 1933, check the following box. ☒ </w:t>
      </w:r>
    </w:p>
    <w:p>
      <w:pPr>
        <w:pStyle w:val="TextBody"/>
        <w:bidi w:val="0"/>
        <w:spacing w:before="240" w:after="0"/>
        <w:jc w:val="left"/>
        <w:rPr>
          <w:rFonts w:ascii="Times New Roman" w:hAnsi="Times New Roman"/>
          <w:sz w:val="16"/>
        </w:rPr>
      </w:pPr>
      <w:r>
        <w:rPr>
          <w:rFonts w:ascii="Times New Roman" w:hAnsi="Times New Roman"/>
          <w:sz w:val="16"/>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pStyle w:val="TextBody"/>
        <w:bidi w:val="0"/>
        <w:spacing w:before="240" w:after="0"/>
        <w:jc w:val="left"/>
        <w:rPr>
          <w:rFonts w:ascii="Times New Roman" w:hAnsi="Times New Roman"/>
          <w:sz w:val="16"/>
        </w:rPr>
      </w:pPr>
      <w:r>
        <w:rPr>
          <w:rFonts w:ascii="Times New Roman" w:hAnsi="Times New Roman"/>
          <w:sz w:val="16"/>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240" w:after="0"/>
        <w:jc w:val="left"/>
        <w:rPr>
          <w:rFonts w:ascii="Times New Roman" w:hAnsi="Times New Roman"/>
          <w:sz w:val="16"/>
        </w:rPr>
      </w:pPr>
      <w:r>
        <w:rPr>
          <w:rFonts w:ascii="Times New Roman" w:hAnsi="Times New Roman"/>
          <w:sz w:val="16"/>
        </w:rPr>
        <w:t xml:space="preserve">If this Form is a post-effective amendment filed pursuant to Rule 462(d) under the Securities Act, check the following box and list the Securities Act registration statement number of the earlier effective registration statement for the same offering. ☐ </w:t>
      </w:r>
    </w:p>
    <w:p>
      <w:pPr>
        <w:pStyle w:val="TextBody"/>
        <w:bidi w:val="0"/>
        <w:spacing w:before="240" w:after="0"/>
        <w:jc w:val="left"/>
        <w:rPr>
          <w:rFonts w:ascii="Times New Roman" w:hAnsi="Times New Roman"/>
          <w:sz w:val="16"/>
        </w:rPr>
      </w:pPr>
      <w:r>
        <w:rPr>
          <w:rFonts w:ascii="Times New Roman" w:hAnsi="Times New Roman"/>
          <w:sz w:val="16"/>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19"/>
        <w:gridCol w:w="103"/>
        <w:gridCol w:w="4861"/>
        <w:gridCol w:w="127"/>
        <w:gridCol w:w="2636"/>
        <w:gridCol w:w="103"/>
        <w:gridCol w:w="256"/>
      </w:tblGrid>
      <w:tr>
        <w:trPr/>
        <w:tc>
          <w:tcPr>
            <w:tcW w:w="2119"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861"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2636"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119"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861" w:type="dxa"/>
            <w:tcBorders/>
            <w:vAlign w:val="bottom"/>
          </w:tcPr>
          <w:p>
            <w:pPr>
              <w:pStyle w:val="TableContents"/>
              <w:bidi w:val="0"/>
              <w:spacing w:before="0" w:after="283"/>
              <w:jc w:val="left"/>
              <w:rPr/>
            </w:pPr>
            <w:r>
              <w:rPr/>
              <w:t>☐</w:t>
            </w:r>
          </w:p>
        </w:tc>
        <w:tc>
          <w:tcPr>
            <w:tcW w:w="127" w:type="dxa"/>
            <w:tcBorders/>
            <w:vAlign w:val="bottom"/>
          </w:tcPr>
          <w:p>
            <w:pPr>
              <w:pStyle w:val="TableContents"/>
              <w:bidi w:val="0"/>
              <w:spacing w:before="0" w:after="283"/>
              <w:jc w:val="left"/>
              <w:rPr/>
            </w:pPr>
            <w:r>
              <w:rPr/>
              <w:t>  </w:t>
            </w:r>
          </w:p>
        </w:tc>
        <w:tc>
          <w:tcPr>
            <w:tcW w:w="2636"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119" w:type="dxa"/>
            <w:tcBorders/>
            <w:vAlign w:val="center"/>
          </w:tcPr>
          <w:p>
            <w:pPr>
              <w:pStyle w:val="TableContents"/>
              <w:bidi w:val="0"/>
              <w:spacing w:before="0" w:after="283"/>
              <w:jc w:val="left"/>
              <w:rPr>
                <w:sz w:val="4"/>
                <w:szCs w:val="4"/>
              </w:rPr>
            </w:pPr>
            <w:r>
              <w:rPr>
                <w:sz w:val="4"/>
                <w:szCs w:val="4"/>
              </w:rPr>
            </w:r>
          </w:p>
        </w:tc>
        <w:tc>
          <w:tcPr>
            <w:tcW w:w="4964" w:type="dxa"/>
            <w:gridSpan w:val="2"/>
            <w:tcBorders/>
            <w:vAlign w:val="center"/>
          </w:tcPr>
          <w:p>
            <w:pPr>
              <w:pStyle w:val="TableContents"/>
              <w:bidi w:val="0"/>
              <w:spacing w:before="0" w:after="283"/>
              <w:jc w:val="left"/>
              <w:rPr>
                <w:sz w:val="4"/>
                <w:szCs w:val="4"/>
              </w:rPr>
            </w:pPr>
            <w:r>
              <w:rPr>
                <w:sz w:val="4"/>
                <w:szCs w:val="4"/>
              </w:rPr>
            </w:r>
          </w:p>
        </w:tc>
        <w:tc>
          <w:tcPr>
            <w:tcW w:w="2763"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119"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861" w:type="dxa"/>
            <w:tcBorders/>
            <w:vAlign w:val="bottom"/>
          </w:tcPr>
          <w:p>
            <w:pPr>
              <w:pStyle w:val="TableContents"/>
              <w:bidi w:val="0"/>
              <w:spacing w:before="0" w:after="283"/>
              <w:jc w:val="left"/>
              <w:rPr/>
            </w:pPr>
            <w:r>
              <w:rPr/>
              <w:t>☒</w:t>
            </w:r>
          </w:p>
        </w:tc>
        <w:tc>
          <w:tcPr>
            <w:tcW w:w="127" w:type="dxa"/>
            <w:tcBorders/>
            <w:vAlign w:val="bottom"/>
          </w:tcPr>
          <w:p>
            <w:pPr>
              <w:pStyle w:val="TableContents"/>
              <w:bidi w:val="0"/>
              <w:spacing w:before="0" w:after="283"/>
              <w:jc w:val="left"/>
              <w:rPr/>
            </w:pPr>
            <w:r>
              <w:rPr/>
              <w:t>  </w:t>
            </w:r>
          </w:p>
        </w:tc>
        <w:tc>
          <w:tcPr>
            <w:tcW w:w="2636"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119" w:type="dxa"/>
            <w:tcBorders/>
            <w:vAlign w:val="center"/>
          </w:tcPr>
          <w:p>
            <w:pPr>
              <w:pStyle w:val="TableContents"/>
              <w:bidi w:val="0"/>
              <w:spacing w:before="0" w:after="283"/>
              <w:jc w:val="left"/>
              <w:rPr>
                <w:sz w:val="4"/>
                <w:szCs w:val="4"/>
              </w:rPr>
            </w:pPr>
            <w:r>
              <w:rPr>
                <w:sz w:val="4"/>
                <w:szCs w:val="4"/>
              </w:rPr>
            </w:r>
          </w:p>
        </w:tc>
        <w:tc>
          <w:tcPr>
            <w:tcW w:w="4964" w:type="dxa"/>
            <w:gridSpan w:val="2"/>
            <w:tcBorders/>
            <w:vAlign w:val="center"/>
          </w:tcPr>
          <w:p>
            <w:pPr>
              <w:pStyle w:val="TableContents"/>
              <w:bidi w:val="0"/>
              <w:spacing w:before="0" w:after="283"/>
              <w:jc w:val="left"/>
              <w:rPr>
                <w:sz w:val="4"/>
                <w:szCs w:val="4"/>
              </w:rPr>
            </w:pPr>
            <w:r>
              <w:rPr>
                <w:sz w:val="4"/>
                <w:szCs w:val="4"/>
              </w:rPr>
            </w:r>
          </w:p>
        </w:tc>
        <w:tc>
          <w:tcPr>
            <w:tcW w:w="2763"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119"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861"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2636"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16"/>
        </w:rPr>
      </w:pPr>
      <w:r>
        <w:rPr>
          <w:rFonts w:ascii="Times New Roman" w:hAnsi="Times New Roman"/>
          <w:sz w:val="16"/>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b/>
          <w:sz w:val="16"/>
        </w:rPr>
      </w:pPr>
      <w:r>
        <w:rPr>
          <w:rFonts w:ascii="Times New Roman" w:hAnsi="Times New Roman"/>
          <w:b/>
          <w:sz w:val="16"/>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On September 9, 2026, MapLight Therapeutics, Inc., or the Company, filed a registration statement on Form S-1 (File No. 333-298837), or the Existing Registration Statement, with the Securities and Exchange Commission, or the SEC. The Company is now filing this Amendment No. 1, or the Amendment No. 1, to the Existing Registration Statement to correct the number of shares outstanding as of September 1, 2026. </w:t>
      </w:r>
    </w:p>
    <w:p>
      <w:pPr>
        <w:pStyle w:val="TextBody"/>
        <w:bidi w:val="0"/>
        <w:spacing w:before="240" w:after="0"/>
        <w:jc w:val="left"/>
        <w:rPr>
          <w:rFonts w:ascii="Times New Roman" w:hAnsi="Times New Roman"/>
          <w:sz w:val="20"/>
        </w:rPr>
      </w:pPr>
      <w:r>
        <w:rPr>
          <w:rFonts w:ascii="Times New Roman" w:hAnsi="Times New Roman"/>
          <w:sz w:val="20"/>
        </w:rPr>
        <w:t xml:space="preserve">No additional securities are being registered under this Amendment No. 1 to the Existing Registration Statement.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Narrow" w:hAnsi="Arial Narrow"/>
          <w:b/>
          <w:color w:val="FF4338"/>
          <w:sz w:val="20"/>
        </w:rPr>
      </w:pPr>
      <w:r>
        <w:rPr>
          <w:rFonts w:ascii="Arial Narrow" w:hAnsi="Arial Narrow"/>
          <w:b/>
          <w:color w:val="FF4338"/>
          <w:sz w:val="20"/>
        </w:rPr>
        <w:t xml:space="preserve">The information in this preliminary prospectus is not complete and may be changed. These securities may not be sold until the registration statement filed with the Securities and Exchange Commission is declared effective. This preliminary prospectus is not an offer to sell nor does it seek an offer to buy these securities in any jurisdiction where the offer or sale is not permitted. </w:t>
      </w:r>
    </w:p>
    <w:p>
      <w:pPr>
        <w:pStyle w:val="TextBody"/>
        <w:bidi w:val="0"/>
        <w:spacing w:before="0" w:after="0"/>
        <w:ind w:left="960" w:right="960" w:hanging="0"/>
        <w:jc w:val="left"/>
        <w:rPr/>
      </w:pPr>
      <w:r>
        <w:rPr/>
        <w:t> </w:t>
      </w:r>
    </w:p>
    <w:p>
      <w:pPr>
        <w:pStyle w:val="TextBody"/>
        <w:bidi w:val="0"/>
        <w:spacing w:before="0" w:after="0"/>
        <w:ind w:left="960" w:right="960" w:hanging="0"/>
        <w:jc w:val="center"/>
        <w:rPr>
          <w:rFonts w:ascii="Times New Roman" w:hAnsi="Times New Roman"/>
          <w:b/>
          <w:color w:val="FF4338"/>
          <w:sz w:val="20"/>
        </w:rPr>
      </w:pPr>
      <w:r>
        <w:rPr>
          <w:rFonts w:ascii="Times New Roman" w:hAnsi="Times New Roman"/>
          <w:b/>
          <w:color w:val="FF4338"/>
          <w:sz w:val="20"/>
        </w:rPr>
        <w:t xml:space="preserve">SUBJECT TO COMPLETION, DATED SEPTEMBER 18, 2026 </w:t>
      </w:r>
    </w:p>
    <w:p>
      <w:pPr>
        <w:pStyle w:val="TextBody"/>
        <w:bidi w:val="0"/>
        <w:spacing w:before="240" w:after="0"/>
        <w:ind w:left="960" w:right="960" w:hanging="0"/>
        <w:jc w:val="left"/>
        <w:rPr>
          <w:rFonts w:ascii="Times New Roman" w:hAnsi="Times New Roman"/>
          <w:b/>
          <w:sz w:val="20"/>
        </w:rPr>
      </w:pPr>
      <w:r>
        <w:rPr>
          <w:rFonts w:ascii="Times New Roman" w:hAnsi="Times New Roman"/>
          <w:b/>
          <w:sz w:val="20"/>
        </w:rPr>
        <w:t xml:space="preserve">PRELIMINARY PROSPECTUS </w:t>
      </w:r>
    </w:p>
    <w:p>
      <w:pPr>
        <w:pStyle w:val="TextBody"/>
        <w:bidi w:val="0"/>
        <w:spacing w:before="240" w:after="0"/>
        <w:ind w:left="960" w:right="960" w:hanging="0"/>
        <w:jc w:val="center"/>
        <w:rPr>
          <w:rFonts w:ascii="Times New Roman" w:hAnsi="Times New Roman"/>
          <w:b/>
          <w:sz w:val="32"/>
        </w:rPr>
      </w:pPr>
      <w:r>
        <w:rPr>
          <w:rFonts w:ascii="Times New Roman" w:hAnsi="Times New Roman"/>
          <w:b/>
          <w:sz w:val="32"/>
        </w:rPr>
        <w:t xml:space="preserve">13,181,055 Shares </w:t>
      </w:r>
    </w:p>
    <w:p>
      <w:pPr>
        <w:pStyle w:val="TextBody"/>
        <w:bidi w:val="0"/>
        <w:spacing w:before="0" w:after="0"/>
        <w:ind w:left="960" w:right="960" w:hanging="0"/>
        <w:jc w:val="left"/>
        <w:rPr/>
      </w:pPr>
      <w:r>
        <w:rPr/>
        <w:t> </w:t>
      </w:r>
    </w:p>
    <w:p>
      <w:pPr>
        <w:pStyle w:val="TextBody"/>
        <w:bidi w:val="0"/>
        <w:spacing w:before="0" w:after="0"/>
        <w:ind w:left="960" w:right="960" w:hanging="0"/>
        <w:jc w:val="center"/>
        <w:rPr/>
      </w:pPr>
      <w:r>
        <w:rPr/>
        <w:drawing>
          <wp:inline distT="0" distB="0" distL="0" distR="0">
            <wp:extent cx="1943735" cy="35306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43735" cy="353060"/>
                    </a:xfrm>
                    <a:prstGeom prst="rect">
                      <a:avLst/>
                    </a:prstGeom>
                  </pic:spPr>
                </pic:pic>
              </a:graphicData>
            </a:graphic>
          </wp:inline>
        </w:drawing>
      </w:r>
      <w:r>
        <w:rPr/>
        <w:t xml:space="preserve"> </w:t>
      </w:r>
    </w:p>
    <w:p>
      <w:pPr>
        <w:pStyle w:val="TextBody"/>
        <w:bidi w:val="0"/>
        <w:spacing w:before="240" w:after="0"/>
        <w:ind w:left="960" w:right="960" w:hanging="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This prospectus relates to the proposed offer and resale or other disposition from time to time by the selling stockholders identified in this prospectus of up to an aggregate of 13,181,055 shares of common stock, par value $0.0001 per share, of MapLight Therapeutics, Inc., held by the selling stockholders, which consists of (i) 9,197,887 shares of common stock and (ii) 3,983,168 shares of common stock issuable upon the exercise of outstanding pre-funded warrants to purchase shares of common stock held by certain of the selling stockholders, all of which were issued by us in a private placement, or the Private Placement, which closed on August 14, 2026.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We have two series of common stock: the voting common stock offered hereby and non-voting common stock. We are registering the offer and resale of shares of voting common stock, and unless otherwise noted, all references in this prospectus to our “common stock” refer to our voting common stock.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We are registering the offer and sale of the shares of common stock from time to time by the selling stockholders to satisfy the registration rights they were granted in connection with the Private Placement. Our registration of the resale of the shares of common stock covered by this prospectus does not mean that the selling stockholders will offer or sell all or any of the shares of common stock. The selling stockholders may offer, sell or distribute all or a portion of their shares of common stock from time to time directly or indirectly through one or more underwriters, broker-dealers or agents, and in one or more public or private transactions, which may involve crosses or block transactions. The shares of common stock may be sold in one or more transactions at fixed prices, at prevailing market prices at the time of the sale, at varying prices determined at the time of sale or at negotiated prices. See the section entitled “Plan of Distribution” for more information. We will not receive any proceeds from any sale of common stock by the selling stockholders pursuant to this prospectus. We have agreed to bear the expenses in connection with the registration of the resale of the shares of common stock to be offered by this prospectus by the selling stockholders except for any underwriting discounts and commissions relating to the sale of common stock, which will be borne by the selling stockholders.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Our common stock is listed on the Nasdaq Global Select Market under the symbol “MPLT.” On September 17, 2026, the last reported sale price for our common stock on the Nasdaq Global Select Market was $11.32 per share.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We are an “emerging growth company” and a “smaller reporting company” as defined under the U.S. federal securities laws and, as such, we have elected to comply with certain reduced reporting requirements for this prospectus and the documents incorporated by reference herein and may elect to do so in future filings. See the section titled “Prospectus Summary—Implications of Being an Emerging Growth Company and a Smaller Reporting Company.”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left"/>
        <w:rPr/>
      </w:pPr>
      <w:r>
        <w:rPr>
          <w:rFonts w:ascii="Times New Roman" w:hAnsi="Times New Roman"/>
          <w:b/>
          <w:sz w:val="24"/>
        </w:rPr>
        <w:t>Investing in our common stock involves risks. See the section titled “</w:t>
      </w:r>
      <w:hyperlink w:anchor="tx546679_4">
        <w:r>
          <w:rPr>
            <w:rStyle w:val="InternetLink"/>
            <w:rFonts w:ascii="Times New Roman" w:hAnsi="Times New Roman"/>
            <w:b/>
            <w:sz w:val="24"/>
          </w:rPr>
          <w:t>Risk Factors</w:t>
        </w:r>
      </w:hyperlink>
      <w:r>
        <w:rPr>
          <w:rFonts w:ascii="Times New Roman" w:hAnsi="Times New Roman"/>
          <w:b/>
          <w:sz w:val="24"/>
        </w:rPr>
        <w:t>” beginning on page 6 of this prospectus and under similar headings in the documents incorporated by reference into this prospectus to read about factors you should consider before buying shares of our common stock.</w:t>
      </w:r>
      <w:r>
        <w:rPr>
          <w:rFonts w:ascii="Times New Roman" w:hAnsi="Times New Roman"/>
          <w:sz w:val="24"/>
        </w:rPr>
        <w:t xml:space="preserve"> </w:t>
      </w:r>
    </w:p>
    <w:p>
      <w:pPr>
        <w:pStyle w:val="TextBody"/>
        <w:bidi w:val="0"/>
        <w:spacing w:before="360" w:after="0"/>
        <w:ind w:left="960" w:right="960" w:hanging="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bidi w:val="0"/>
        <w:spacing w:before="240" w:after="0"/>
        <w:ind w:left="960" w:right="960" w:hanging="0"/>
        <w:jc w:val="center"/>
        <w:rPr>
          <w:rFonts w:ascii="Times New Roman" w:hAnsi="Times New Roman"/>
          <w:sz w:val="20"/>
        </w:rPr>
      </w:pPr>
      <w:r>
        <w:rPr>
          <w:rFonts w:ascii="Times New Roman" w:hAnsi="Times New Roman"/>
          <w:b/>
          <w:sz w:val="20"/>
        </w:rPr>
        <w:t>The date of this prospectus is     , 2026</w:t>
      </w:r>
      <w:r>
        <w:rPr>
          <w:rFonts w:ascii="Times New Roman" w:hAnsi="Times New Roman"/>
          <w:sz w:val="20"/>
        </w:rPr>
        <w:t xml:space="preserve"> </w:t>
      </w:r>
    </w:p>
    <w:p>
      <w:pPr>
        <w:pStyle w:val="TextBody"/>
        <w:bidi w:val="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546679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ii</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546679_2">
              <w:r>
                <w:rPr>
                  <w:rStyle w:val="InternetLink"/>
                  <w:rFonts w:ascii="Times New Roman" w:hAnsi="Times New Roman"/>
                  <w:sz w:val="20"/>
                </w:rPr>
                <w:t>SPECIAL NOTE REGARDING 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iii</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546679_3">
              <w:r>
                <w:rPr>
                  <w:rStyle w:val="InternetLink"/>
                  <w:rFonts w:ascii="Times New Roman" w:hAnsi="Times New Roman"/>
                  <w:sz w:val="20"/>
                </w:rPr>
                <w:t>PROSPECTUS SUMMARY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546679_4">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546679_5">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546679_6">
              <w:r>
                <w:rPr>
                  <w:rStyle w:val="InternetLink"/>
                  <w:rFonts w:ascii="Times New Roman" w:hAnsi="Times New Roman"/>
                  <w:sz w:val="20"/>
                </w:rPr>
                <w:t>SELLING STOCKHOLDERS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546679_7">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546679_8">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546679_9">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546679_10">
              <w:r>
                <w:rPr>
                  <w:rStyle w:val="InternetLink"/>
                  <w:rFonts w:ascii="Times New Roman" w:hAnsi="Times New Roman"/>
                  <w:sz w:val="20"/>
                </w:rPr>
                <w:t>WHERE YOU CAN FIND ADDITIONAL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546679_11">
              <w:r>
                <w:rPr>
                  <w:rStyle w:val="InternetLink"/>
                  <w:rFonts w:ascii="Times New Roman" w:hAnsi="Times New Roman"/>
                  <w:sz w:val="20"/>
                </w:rPr>
                <w:t>INCORPORATION OF CERTAIN INFORMATION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15</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x546679_1"/>
      <w:bookmarkEnd w:id="3"/>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relates to the resale by the selling stockholders identified in this prospectus under the caption “Selling Stockholders,” from time to time, of up to an aggregate of 13,181,055 shares of common stock. We are not selling any shares of common stock under this prospectus, and we will not receive any proceeds from the sale of shares of common stock offered hereby by the 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the selling stockholders, have authorized anyone to give any information or to make any representation other than those contained or incorporated by reference in this prospectus. You must not rely upon any information or representation not contained or incorporated by reference in this prospectus. You should not assume that the information contained in this prospectus is accurate on any date subsequent to the date set forth on the front of the document or that any information we have incorporated by reference is correct on any date subsequent to the date of the document incorporated by reference, even though this prospectus is delivered or shares are sold on a later date. Our business, financial condition, results of operations and prospects may have changed since those dates. To the extent there is a conflict between the information contained in this prospectus, on the one hand, and the information contained in any document incorporated by reference filed with the Securities and Exchange Commission, or the SEC, before the date of this prospectus, on the other hand, you should rely on the information in this prospectus. If any statement in a document incorporated by reference is inconsistent with a statement in another document incorporated by reference having a later date, the statement in the document having the later date modifies or supersedes the earlier statement.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are offering to sell, and seeking offers to buy, shares of our common stock only in jurisdictions where it is lawful to do so. This prospectus does not constitute an offer to sell or the solicitation of an offer to buy any shares other than the registered shares to which it relates, nor does this prospectus constitute an offer to sell or the solicitation of an offer to buy shares in any jurisdiction to any person to whom it is unlawful to make such offer or solicitation in such jurisdiction. A prospectus supplement may add to, update or change the information contained in this prospectus. You should read both this prospectus and any applicable prospectus supplement together with additional information described below under the heading “Where You Can Find Additional Information” or incorporated by reference herein as described under the heading “Incorporation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incorporates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may involve estimates, assumptions and other risks and uncertainties and are subject to change based on various factors, including those discussed under the heading “Risk Factors” contained in this prospectus, and under similar headings in other documents that are incorporated by reference into this prospectus. Accordingly, investors should not place undue reliance on this information.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otherwise indicates, references in this prospectus to “Company,” “we,” “our” and “us” refer collectively to MapLight Therapeutics, Inc., a Delaware corporation, and its consolidated subsidiaries. </w:t>
      </w:r>
    </w:p>
    <w:p>
      <w:pPr>
        <w:pStyle w:val="TextBody"/>
        <w:bidi w:val="0"/>
        <w:spacing w:before="240" w:after="0"/>
        <w:jc w:val="left"/>
        <w:rPr>
          <w:rFonts w:ascii="Times New Roman" w:hAnsi="Times New Roman"/>
          <w:sz w:val="20"/>
        </w:rPr>
      </w:pPr>
      <w:r>
        <w:rPr>
          <w:rFonts w:ascii="Times New Roman" w:hAnsi="Times New Roman"/>
          <w:sz w:val="20"/>
        </w:rPr>
        <w:t xml:space="preserve">MapLight Therapeutics is our trademark and is used in this prospectus. This prospectus also includes trademarks, trade names and service marks that are the property of other organizations. Solely for convenience, the trademarks and trade names referred to in this prospectus appear without the ® and  symbol, but those references are not intended to indicate, in any way, that we will not assert, to the fullest extent under applicable law, our rights or the right of the applicable licensor to these trademarks and trade names.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tx546679_2"/>
      <w:bookmarkEnd w:id="4"/>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the documents we have filed with the SEC that are incorporated by reference herein contain forward-looking statements about us and our industry that involve substantial risks and uncertainties. All statements other than statements of historical fact contained in this prospectus, including statements regarding our plans, objectives, goals, strategies, future events, future revenues or performance, financing needs, plans, or intentions relating to product candidates and markets and business trends and other information referred to under the sections titled “Prospectus Summary” and “Risk Factors” in this prospectus and the sections titled “Risk Factors,” “Management’s Discussion and Analysis of Financial Condition and Results of Operations” and “Business” in our Annual Report on Form 10-K for the year ended December 31, 2025 and “Risk Factors” and “Management’s Discussion and Analysis of Financial Condition and Results of Operations” in our Quarterly Report on Form 10-Q for the quarter ended June 30, 2026, which are incorporated by reference herein, are forward-looking statements. We have based these forward-looking statements largely on our current expectations and projections. In some cases, you can identify forward-looking statements because they contain words such as “anticipate,” “believe,” “can,” “contemplate,” “continue,” “could,” “design,” “estimate,” “expect,” “intend,” “may,” “might,” “objective,” “plan,” “potential,” “predict,” “project,” “shall,” “should,” “target,” “will,” or “would,” or the negative of these words or other similar terms or expressions. </w:t>
      </w:r>
    </w:p>
    <w:p>
      <w:pPr>
        <w:pStyle w:val="TextBody"/>
        <w:bidi w:val="0"/>
        <w:spacing w:before="240" w:after="0"/>
        <w:jc w:val="left"/>
        <w:rPr>
          <w:rFonts w:ascii="Times New Roman" w:hAnsi="Times New Roman"/>
          <w:sz w:val="20"/>
        </w:rPr>
      </w:pPr>
      <w:r>
        <w:rPr>
          <w:rFonts w:ascii="Times New Roman" w:hAnsi="Times New Roman"/>
          <w:sz w:val="20"/>
        </w:rPr>
        <w:t xml:space="preserve">These statements involve known and unknown risks, uncertainties, and other factors that may cause our actual results, performance or achievements to be materially different from any future results, performance or achievements expressed or implied by the forward-looking statements. Forward-looking statements include, but are not limited to,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progress and results of our preclinical studies and clinical trials of our product candidates, including statements regarding the timing of initiation and completion of studies or trials and related preparatory work, and the period during which the results of the trials will become available;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of any regulatory submissions, initiation of and enrollment in clinical trials and timing of expected clinical results for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identify patients with the conditions treated by our product candidates and to enroll patients in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size of the patient populations, market acceptance and opportunity for and clinical utility of our product candidates, if approved for commercial 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manufacturing capabilities and strategy, including the scalability and commercial viability of our manufacturing methods and processes;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scope of any potential indications for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successfully receive regulatory approval for, and commercialize,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identify and develop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additional capital and the sufficiency of our existing cash, cash equivalents and investments to fund our future operating expenses and capital expenditure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establish or maintain collaborations or strategic relationships;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identify, recruit and retain key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protect and enforce our intellectual property position for our product candidates, and the scope of such protection;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financial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anticipated use of our existing cash, cash equivalents and investments;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laws and regulations;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time during which we will be an emerging growth company under the JOBS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reflect our management’s beliefs and views with respect to future events and are based on estimates and assumptions as of the date of this prospectus and are subject to risks and uncertainties. 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We discuss many of the risks associated with the forward-looking statements in this prospectus in greater detail under the heading “Risk Factors” included in this prospectus and our Quarterly Report on Form 10-Q for the quarter ended June 30, 2026, which is incorporated by reference herein. You should evaluate all forward-looking statements made in this prospectus in the context of these risks and uncertainties.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Given these uncertainties, you should not place undue reliance on these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You should carefully read this prospectus and the documents that we have filed as exhibits to the registration statement, of which this prospectus is a part, completely and with the understanding that our actual future results may be materially different from what we expect. We qualify all of the forward-looking statements in this prospectus by these cautionary statements. </w:t>
      </w:r>
    </w:p>
    <w:p>
      <w:pPr>
        <w:pStyle w:val="TextBody"/>
        <w:bidi w:val="0"/>
        <w:spacing w:before="240" w:after="0"/>
        <w:jc w:val="left"/>
        <w:rPr>
          <w:rFonts w:ascii="Times New Roman" w:hAnsi="Times New Roman"/>
          <w:sz w:val="20"/>
        </w:rPr>
      </w:pPr>
      <w:r>
        <w:rPr>
          <w:rFonts w:ascii="Times New Roman" w:hAnsi="Times New Roman"/>
          <w:sz w:val="20"/>
        </w:rPr>
        <w:t xml:space="preserve">Except as required by law, we assume no obligation to update these forward-looking statements publicly, or to update the reasons actual results could differ materially from those anticipated in any forward-looking statements, whether as a result of new information, future events, or otherwise.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5" w:name="tx546679_3"/>
      <w:bookmarkEnd w:id="5"/>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contained or incorporated by reference elsewhere in this prospectus. This summary is not complete and does not contain all of the information you should consider in making your investment decision. Before investing in our common stock, you should carefully read this entire prospectus, including the information incorporated by reference herein. You should carefully consider, among other things, the section titled “Risk Factors” included elsewhere in this prospectus and the risk factors incorporated by reference herein, the section titled “Management’s Discussion and Analysis of Financial Condition and Results of Operations,” and our consolidated financial statements and the related notes thereto included in our Annual Report on Form 10-K for the year ended December 31, 2025 and our Quarterly Report on Form 10-Q for the quarter ended June 30, 2026, which are incorporated by reference herein. Some of the statements in this summary constitute forward-looking statements; see the section titled “Special Note Regarding Forward-Looking Statements.”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Business 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clinical-stage biopharmaceutical company focused on improving the lives of patients suffering from debilitating central nervous system, or CNS, disorders. We were founded by globally recognized leaders in psychiatry and neuroscience research to address the lack of circuit-specific pharmacotherapies available for patients. Our discovery platform holds the potential to fill this void by identifying neural circuits causally linked to disease and targeting those circuits for therapeutic modulation. We believe our deep understanding of these causal links between the modulation of defined neural circuits and the resulting changes in disease-specific behaviors will enable us to develop therapeutics that can deliver efficacy, safety, tolerability and ease-of-use advantages to patients and prescribers.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lead product candidate, ML-007C-MA, is a fixed-dose combination of an M1/M4 muscarinic agonist, ML-007, co-formulated with a peripherally acting anticholinergic, or PAC, which we are initially developing for the treatment of schizophrenia and Alzheimer’s disease psychosis, or ADP. ML-007C-MA is designed to activate both M1 and M4 muscarinic receptors centrally to drive efficacy, while synchronizing the pharmacokinetics of the agonist and antagonist components to mitigate peripheral cholinergic side effects. ML-007 alone, co-administered or co-formulated with the PAC has been evaluated in four Phase 1 trials, with a total of 270 healthy participants enrolled and more than 1,500 doses of ML-007 administered. Based on our clinical and preclinical data, we believe that ML-007C-MA has demonstrated the potential to be a well-tolerated treatment option with convenient dosing, while achieving or exceeding cerebrospinal fluid, or CSF, exposures expected to result in improvement across key symptom domains. In July 2026, we announced positive topline results from ZEPHYR, a Phase 2 trial evaluating ML-007C-MA for the treatment of schizophrenia. Based on the results of ZEPHYR, we intend to engage with the U.S. Food and Drug Administration, or the FDA, in an end-of-Phase 2 meeting to discuss the path forward for ML-007C-MA in schizophrenia, including the design of a Phase 3 trial which, together with ZEPHYR, would support an initial New Drug Application, or NDA, submission. We have begun planning and site identification for this additional, confirmatory trial.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also conducting VISTA, a Phase 2 trial evaluating ML-007C-MA for the treatment of ADP, and we expect to report topline results in the second half of 2027. In December 2025, ML-007C-MA was granted Fast Track designation by the FDA for the treatment of hallucinations and delusions associated with ADP.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second clinical-stage product candidate, ML-004, is a 5-HT1B/1D agonist that we are developing for the treatment of social communication deficit and/or irritability in autism spectrum disorder, or ASD. In June 2026, we announced topline results from IRIS, a Phase 2 trial evaluating the efficacy, safety and tolerability of ML-004 in adults and adolescents with ASD. Based on the results of IRIS, we intend to engage with the FDA in an end-of-Phase 2 meeting to determine the next steps for development of ML-004 in irritability associated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ASD, after which we intend to evaluate the path forward for ML-004, including potential strategic collaborations and/or funding alternatives.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Risk Factor Summary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Investing in our common stock involves significant risks. You should carefully consider the risks described in the section titled “Risk Factors” immediately following this prospectus summary and in the section titled “Risk Factors” included in our Quarterly Report on Form 10-Q for the quarter ended June 30, 2026 before making a decision to invest in our common stock. If we are unable to successfully address these risks and challenges, our business, financial condition, results of operations, or prospects could be materially and adversely affected. In such case, the trading price of our common stock would likely decline, and you may lose all or part of your investment. Below is a summary of some of the risks we face.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a clinical-stage biopharmaceutical company with a limited operating history and no history of commercializing products, which may make it difficult to evaluate our approach to the discovery and development of product candidates and the prospects for our future viability.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incurred substantial losses since our inception. We anticipate incurring substantial and increasing losses for the foreseeable future and may never achieve or maintain profitability.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require substantial additional financing to achieve our goals, and failure to obtain additional capital when needed, or on acceptable terms, could cause us to delay, limit, reduce or terminate our product development or future commercialization efforts.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are unable to successfully identify, develop and commercialize any product candidates, or experience significant delays in doing so, our business, financial condition, results of operations and prospects will be materially and adversely affected.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regulatory approval processes of the FDA and comparable foreign authorities are lengthy, time-consuming, expensive and inherently unpredictable, and if we are ultimately unable to obtain regulatory approval for our product candidates, our business will be substantially harmed.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incur unexpected costs or experience delays in completing, or ultimately be unable to complete, the development and commercialization of our product candidates.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subject to various U.S. federal, state and foreign healthcare laws and regulations, which could increase compliance costs, and our failure to comply with these laws and regulations could harm our reputation, subject us to significant fines and liability or otherwise adversely affect our business.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Competitive products may reduce or eliminate the commercial opportunity for our product candidates for our current or future indications. If our competitors develop technologies or product candidates more rapidly than we do, or their technologies or product candidates are more effective or safer than ours, our ability to develop and successfully commercialize our product candidates may be adversely affected.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rely, and expect to continue to rely, on third parties, including independent clinical investigators, contracted laboratories and contract research organizations, to conduct our preclinical studies and clinical trials. If these third parties do not successfully carry out their contractual duties, comply with applicable regulatory requirements or meet expected deadlines, our development programs and our ability to seek or obtain regulatory approval for or commercialize our product candidates may be delayed and our business could be substantially harmed.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future success depends on our ability to retain key executives and to attract, retain and motivate qualified personnel.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are unable to obtain and maintain sufficient intellectual property protection for our current or future product candidates or if the scope of the intellectual property protection we currently have or obtain in the future is not sufficiently broad, our competitors could develop and commercialize product candidates similar or identical to ours, and our ability to successfully commercialize our current or future product candidates may be impaired.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Sales of a substantial number of shares of our common stock in the public market could cause our stock price to fall.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We were incorporated under the laws of the State of Delaware in November 2018 as Alvarado Therapeutics, Inc. In August 2019, we changed our name to MapLight Therapeutics, Inc. Our principal executive offices are located at 800 Chesapeake Drive, Redwood City, California 94063, and our telephone number is (617) 984-6300. Our website address is </w:t>
      </w:r>
      <w:r>
        <w:rPr>
          <w:rFonts w:ascii="Times New Roman" w:hAnsi="Times New Roman"/>
          <w:i/>
          <w:sz w:val="20"/>
          <w:bdr w:val="single" w:sz="8" w:space="1" w:color="000000"/>
        </w:rPr>
        <w:t>www.maplightrx.com</w:t>
      </w:r>
      <w:r>
        <w:rPr>
          <w:rFonts w:ascii="Times New Roman" w:hAnsi="Times New Roman"/>
          <w:sz w:val="20"/>
          <w:bdr w:val="single" w:sz="8" w:space="1" w:color="000000"/>
        </w:rPr>
        <w:t xml:space="preserve">. The information contained on, or accessible through, our website is not incorporated by reference into this prospectus. We have included our website in this prospectus solely as an inactive textual reference.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Private Placement of Securities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August 13, 2026, we entered into a securities purchase agreement with certain institutional investors pursuant to which we agreed to sell and issue (i) 9,197,887 shares of common stock, or the Shares, and (ii) with respect to certain purchasers, in lieu of shares of common stock, pre-funded warrants, or the Pre-Funded Warrants, to purchase 3,983,168 shares of common stock, or the Warrant Shares, which is collectively referred to in this prospectus as the Private Placement. The closing of the Private Placement occurred on August 14, 2026. The purchase price per Share was $11.38 and the purchase price for the Pre-Funded Warrants was the purchase price per Share minus $0.0001 per Warrant Share underlying the Pre-Funded Warrants. We received gross proceeds of approximately $150.0 million from the Private Placement, before deducting placement agent fees and estimated offering expenses.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Pre-Funded Warrants have a per share exercise price of $0.0001, subject to proportional adjustments in the event of stock splits or combinations or similar events. The Pre-Funded Warrants will not expire until exercised in full. The Pre-Funded Warrants may not be exercised if the aggregate number of shares of common stock beneficially owned by the holder thereof immediately following such exercise would exceed a specified beneficial ownership limitation; provided, however, that a holder that holds less than 20% of our common stock prior to such exercise may increase or decrease the beneficial ownership limitation by giving 61 days’ notice to us, but not to any percentage in excess of 19.99%, or, for Catalyst4, Inc., 49.99%.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Also on August 13, 2026, we entered into a registration rights agreement with the purchasers in the Private Placement, or the Registration Rights Agreement. Under the terms of the Registration Rights Agreement, we agreed to prepare and file, within 30 days after the closing of the Private Placement, one or more registration statements with the SEC to register for resale the Shares and the Warrant Shares issuable upon exercise of the Pre-Funded Warrants sold in the Private Placement, and to cause the applicable registration statements to become effective within a specified period set forth in the Registration Rights Agreement. The registration statement of which this prospectus forms a part is being filed to satisfy the requirements of the Registration Rights Agreement.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an Emerging Growth Company and a Smaller Reporting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an “emerging growth company,” as defined in Section 2(a) of the Securities Act of 1933, as amended, or the Securities Act, as modified by the Jumpstart Our Business Startups Act of 2012, or the JOBS Act, and we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may take advantage of certain exemptions from various reporting requirements that are applicable to other public companies that are not emerging growth companies, including relief from the auditor attestation requirements of Section 404 of the Sarbanes-Oxley Act of 2002, as amended, less extensive disclosure obligations regarding executive compensation in our registration statements, periodic reports and proxy statements, exemptions from the requirements to hold a nonbinding advisory vote on executive compensation, and exemptions from stockholder approval of any golden parachute payments not previously approved. We may also elect to take advantage of other reduced reporting requirements in future filings. As a result, our stockholders may not have access to certain information that they may deem important and the information that we provide to our stockholders may be different than, and not comparable to, information presented by other public reporting companies. We could remain an emerging growth company until the earlier of (i) the last day of the year following the fifth anniversary of the closing of our initial public offering, (ii) the last day of the year in which we have total annual gross revenue of at least $1.235 billion, (iii) the last day of the year in which we are deemed to be a “large accelerated filer” as defined in Rule 12b-2 under the Securities Exchange Act of 1934, as amended, or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the JOBS Act provides that an emerging growth company may take advantage of the extended transition period provided in the Securities Act for complying with new or revised accounting standards. An emerging growth company may therefore delay the adoption of certain accounting standards until those standards would otherwise apply to private companies. We have elected to avail ourselves of this exemption and, as a result, will not be subject to the same implementation timing for new or revised accounting standards as are required of other public companies that are not emerging growth companies, which may make comparison of our consolidated financial information to those of other public companies more difficult.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also a “smaller reporting company,” as defined in the Exchange Act. We will continue to be a smaller reporting company as long as (i) the market value of our common stock held by non-affiliates is less than $250.0 million or (ii) our annual revenue is less than $100.0 million during the most recently completed fiscal year and the market value of our common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Issuer </w:t>
            </w:r>
          </w:p>
        </w:tc>
        <w:tc>
          <w:tcPr>
            <w:tcW w:w="6329" w:type="dxa"/>
            <w:tcBorders/>
          </w:tcPr>
          <w:p>
            <w:pPr>
              <w:pStyle w:val="TableContents"/>
              <w:bidi w:val="0"/>
              <w:spacing w:before="0" w:after="283"/>
              <w:jc w:val="left"/>
              <w:rPr/>
            </w:pPr>
            <w:r>
              <w:rPr/>
              <w:t xml:space="preserve">MapLight Therapeutics, Inc.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offered by the selling stockholders </w:t>
            </w:r>
          </w:p>
        </w:tc>
        <w:tc>
          <w:tcPr>
            <w:tcW w:w="6329" w:type="dxa"/>
            <w:tcBorders/>
          </w:tcPr>
          <w:p>
            <w:pPr>
              <w:pStyle w:val="TableContents"/>
              <w:bidi w:val="0"/>
              <w:spacing w:before="0" w:after="283"/>
              <w:jc w:val="left"/>
              <w:rPr/>
            </w:pPr>
            <w:r>
              <w:rPr/>
              <w:t xml:space="preserve">Up to an aggregate of 13,181,055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Shares of common stock and non-voting common stock outstanding </w:t>
            </w:r>
          </w:p>
        </w:tc>
        <w:tc>
          <w:tcPr>
            <w:tcW w:w="6329" w:type="dxa"/>
            <w:tcBorders/>
          </w:tcPr>
          <w:p>
            <w:pPr>
              <w:pStyle w:val="TableContents"/>
              <w:bidi w:val="0"/>
              <w:spacing w:before="0" w:after="283"/>
              <w:jc w:val="left"/>
              <w:rPr/>
            </w:pPr>
            <w:r>
              <w:rPr/>
              <w:t xml:space="preserve">55,575,719 shares of common stock (of which 2,727,511 shares are non-voting common stock) as of September 1,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9" w:type="dxa"/>
            <w:tcBorders/>
          </w:tcPr>
          <w:p>
            <w:pPr>
              <w:pStyle w:val="TableContents"/>
              <w:bidi w:val="0"/>
              <w:spacing w:before="0" w:after="283"/>
              <w:jc w:val="left"/>
              <w:rPr/>
            </w:pPr>
            <w:r>
              <w:rPr/>
              <w:t xml:space="preserve">All of the shares of common stock offered by the selling stockholders pursuant to this prospectus will be sold by the selling stockholders for their respective accounts. We will not receive any proceeds from the sale of the shares of common stock covered by this prospectus.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See the section titled “Use of Proceeds” for additional information.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Offering Price </w:t>
            </w:r>
          </w:p>
        </w:tc>
        <w:tc>
          <w:tcPr>
            <w:tcW w:w="6328" w:type="dxa"/>
            <w:tcBorders/>
          </w:tcPr>
          <w:p>
            <w:pPr>
              <w:pStyle w:val="TableContents"/>
              <w:bidi w:val="0"/>
              <w:spacing w:before="0" w:after="283"/>
              <w:jc w:val="left"/>
              <w:rPr/>
            </w:pPr>
            <w:r>
              <w:rPr/>
              <w:t xml:space="preserve">The selling stockholders will offer the shares of common stock offered by this prospectus at the prevailing market prices or at privately negotiated prices.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27" w:type="dxa"/>
            <w:tcBorders/>
          </w:tcPr>
          <w:p>
            <w:pPr>
              <w:pStyle w:val="TableContents"/>
              <w:bidi w:val="0"/>
              <w:spacing w:before="0" w:after="283"/>
              <w:jc w:val="left"/>
              <w:rPr/>
            </w:pPr>
            <w:r>
              <w:rPr/>
              <w:t xml:space="preserve">You should carefully read and consider the information set forth in the section titled “Risk Factors,” together with all of the other information set forth in this prospectus or incorporated by reference herein, before deciding whether to invest in our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Nasdaq Global Select Market trading symbol </w:t>
            </w:r>
          </w:p>
        </w:tc>
        <w:tc>
          <w:tcPr>
            <w:tcW w:w="6327" w:type="dxa"/>
            <w:tcBorders/>
          </w:tcPr>
          <w:p>
            <w:pPr>
              <w:pStyle w:val="TableContents"/>
              <w:bidi w:val="0"/>
              <w:spacing w:before="0" w:after="283"/>
              <w:jc w:val="left"/>
              <w:rPr/>
            </w:pPr>
            <w:r>
              <w:rPr/>
              <w:t>“</w:t>
            </w:r>
            <w:r>
              <w:rPr/>
              <w:t xml:space="preserve">MPLT”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additional information concerning the offering, see “Plan of Distribution” beginning on page 13.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number of shares of our common stock and non-voting common stock outstanding as of September 1, 2026 excludes: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4,810,101 shares of our common stock issuable upon the exercise of options outstanding as of September 1, 2026 at a weighted-average exercise price of $14.95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3,935,504 shares of our common stock issuable upon the vesting and settlement of restricted stock units, or RSUs, outstanding as of September 1,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2,228,226 shares of common stock reserved for future issuance under our 2025 Equity Incentive Plan, or the 2025 Plan, as of September 1, 2026, as well as any future automatic annual increases in the number of shares of common stock reserved for issuance under our 2025 Plan;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845,259 shares of common stock reserved for future issuance under our 2025 Employee Stock Purchase Plan, or the ESPP, as of September 1, 2026, as well as any future automatic annual increases in the number of shares of common stock reserved for future issuance under our ESPP;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 to 35,476 additional shares of our common stock potentially issuable pursuant to the Asset Purchase Agreement with NeuroSolis, Inc., dated as of June 18, 2020, upon our achievement of specified development and regulatory milestones.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Unless otherwise indicated, all information contained in this prospectus assumes no exercise of the outstanding options and no vesting of the RSUs described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tx546679_4"/>
      <w:bookmarkEnd w:id="6"/>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Investing in our common stock involves a high degree of risk. You should carefully consider the risks and uncertainties described below, as well as the risks and uncertainties set forth under the heading “Risk Factors” in our Quarterly Report on Form 10-Q for the quarter ended June 30, 2026, which is incorporated by reference herein, and all of the other information contained in this prospectus and the documents incorporated by reference herein before making an investment decision. If any of the following risks actually occurs, our business, prospects, operating results, and financial condition could suffer materially, the trading price of our common stock could decline, and you could lose all or part of your investment. The risks and uncertainties described below are not the only ones we face. Additional risks and uncertainties not presently known to us or that we currently believe to be immaterial also may materially and adversely affect our business, prospects, operating results, and financial condition. </w:t>
      </w:r>
    </w:p>
    <w:p>
      <w:pPr>
        <w:pStyle w:val="TextBody"/>
        <w:bidi w:val="0"/>
        <w:spacing w:before="240" w:after="0"/>
        <w:jc w:val="left"/>
        <w:rPr>
          <w:rFonts w:ascii="Times New Roman" w:hAnsi="Times New Roman"/>
          <w:b/>
          <w:sz w:val="20"/>
        </w:rPr>
      </w:pPr>
      <w:r>
        <w:rPr>
          <w:rFonts w:ascii="Times New Roman" w:hAnsi="Times New Roman"/>
          <w:b/>
          <w:sz w:val="20"/>
        </w:rPr>
        <w:t xml:space="preserve">Risks Related to the Ownership of our Common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Sales of a substantial number of shares of our common stock in the public market could cause our stock price to fall. </w:t>
      </w:r>
    </w:p>
    <w:p>
      <w:pPr>
        <w:pStyle w:val="TextBody"/>
        <w:bidi w:val="0"/>
        <w:spacing w:before="120" w:after="0"/>
        <w:jc w:val="left"/>
        <w:rPr>
          <w:rFonts w:ascii="Times New Roman" w:hAnsi="Times New Roman"/>
          <w:sz w:val="20"/>
        </w:rPr>
      </w:pPr>
      <w:r>
        <w:rPr>
          <w:rFonts w:ascii="Times New Roman" w:hAnsi="Times New Roman"/>
          <w:sz w:val="20"/>
        </w:rPr>
        <w:t xml:space="preserve">Sales of a substantial number of shares of our common stock in the public market, or the perception in the market that the holders of a large number of shares intend to sell shares, could reduce the market price of our common stock. On August 14, 2026, we issued (i) 9,197,887 shares of common stock and (ii) pre-funded warrants to purchase 3,983,168 shares of common stock in the Private Placement. We have agreed to register for resale with the SEC such shares of common stock. The registration statement of which this prospectus forms a part has been filed to satisfy this obligation. Upon the effectiveness of the registration statement, up to 13,181,055 shares of common stock may be freely sold in the open market pursuant to this prospectus. The balance of our outstanding shares of common stock may be resold into the public market immediately without restriction, unless owned or purchased by our affiliates. The sale of a significant amount of these shares of common stock in the open market, or the perception that these sales may occur, could cause the market price of our common stock to decline or become highly volatile. </w:t>
      </w:r>
    </w:p>
    <w:p>
      <w:pPr>
        <w:pStyle w:val="TextBody"/>
        <w:bidi w:val="0"/>
        <w:spacing w:before="240" w:after="0"/>
        <w:jc w:val="left"/>
        <w:rPr>
          <w:rFonts w:ascii="Times New Roman" w:hAnsi="Times New Roman"/>
          <w:sz w:val="20"/>
        </w:rPr>
      </w:pPr>
      <w:r>
        <w:rPr>
          <w:rFonts w:ascii="Times New Roman" w:hAnsi="Times New Roman"/>
          <w:sz w:val="20"/>
        </w:rPr>
        <w:t xml:space="preserve">All of our outstanding options, RSUs and shares that are otherwise issuable under our equity compensation plans are registered under the Securities Act on registration statements on Form S-8. These shares can be freely sold in the public market upon issuance, subject to volume limitations applicable to affiliates, to the extent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x546679_5"/>
      <w:bookmarkEnd w:id="7"/>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All of the shares of common stock offered by the selling stockholders pursuant to this prospectus will be sold by the selling stockholders for their respective accounts. We will not receive any proceeds from any sales of shares of our common stock by the selling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x546679_6"/>
      <w:bookmarkEnd w:id="8"/>
      <w:r>
        <w:rPr>
          <w:rFonts w:ascii="Times New Roman" w:hAnsi="Times New Roman"/>
          <w:b/>
          <w:sz w:val="20"/>
        </w:rPr>
        <w:t xml:space="preserve">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shares of common stock being offered by the selling stockholders consist of the Shares and the Warrant Shares issuable upon exercise of the Pre-Funded Warrants issued to the selling stockholders in the Private Placement. For additional information regarding the issuance of the Shares and the Pre-Funded Warrants in the Private Placement, see the section “Prospectus Summary—Private Placement of Securities” above. We are registering the resale of the Shares and the Warrant Shares in order to permit such selling stockholders to offer the Shares and Warrant Shares for resale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lists the selling stockholders and other information regarding their ownership of the Shares and Warrant Shares offered hereby. The second column lists the number of shares of common stock beneficially owned by the selling stockholders as of September 1, 2026. The third column lists the shares of common stock being offered by the selling stockholder pursuant to this prospectus. The fourth column assumes the sale of all of the shares of common stock offered by the selling stockholders pursuant to this prospectus. The selling stockholders may sell all, some or none of their shares of common stock in this offering. See “Plan of Distribution” for 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Except as indicated by the footnotes below, we believe, based on the information furnished to us, that the selling stockholders have sole voting and investment power with respect to all shares of common stock that they own, subject to applicable community property laws. Beneficial ownership for the purposes of the table below is determined in accordance with the rules and regulations of the SEC. These rules generally provide that a person is the beneficial owner of securities if such person has or shares the power to vote or direct the voting thereof, or to dispose or direct the disposition thereof, or has the right to acquire such powers within 60 days. Percentage of beneficial ownership is based on 55,575,719 shares of common stock outstanding as of September 1, 2026.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disclosed herein, the selling stockholders do not have, and within the past three years have not had, any position, office or other material relationship with us.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304"/>
        <w:gridCol w:w="161"/>
        <w:gridCol w:w="101"/>
        <w:gridCol w:w="1869"/>
        <w:gridCol w:w="60"/>
        <w:gridCol w:w="161"/>
        <w:gridCol w:w="108"/>
        <w:gridCol w:w="1775"/>
        <w:gridCol w:w="60"/>
        <w:gridCol w:w="161"/>
        <w:gridCol w:w="60"/>
        <w:gridCol w:w="1119"/>
        <w:gridCol w:w="60"/>
        <w:gridCol w:w="161"/>
        <w:gridCol w:w="139"/>
        <w:gridCol w:w="1021"/>
        <w:gridCol w:w="68"/>
      </w:tblGrid>
      <w:tr>
        <w:trPr/>
        <w:tc>
          <w:tcPr>
            <w:tcW w:w="2304"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18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2304"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9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883"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256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Beneficial Ownership After</w:t>
              <w:br/>
              <w:t>This Offering</w:t>
            </w:r>
          </w:p>
        </w:tc>
        <w:tc>
          <w:tcPr>
            <w:tcW w:w="68" w:type="dxa"/>
            <w:tcBorders/>
            <w:vAlign w:val="bottom"/>
          </w:tcPr>
          <w:p>
            <w:pPr>
              <w:pStyle w:val="TableContents"/>
              <w:bidi w:val="0"/>
              <w:spacing w:before="0" w:after="283"/>
              <w:jc w:val="left"/>
              <w:rPr/>
            </w:pPr>
            <w:r>
              <w:rPr/>
              <w:t> </w:t>
            </w:r>
          </w:p>
        </w:tc>
      </w:tr>
      <w:tr>
        <w:trPr/>
        <w:tc>
          <w:tcPr>
            <w:tcW w:w="230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Selling Stockholder</w:t>
            </w:r>
          </w:p>
        </w:tc>
        <w:tc>
          <w:tcPr>
            <w:tcW w:w="161" w:type="dxa"/>
            <w:tcBorders/>
            <w:vAlign w:val="bottom"/>
          </w:tcPr>
          <w:p>
            <w:pPr>
              <w:pStyle w:val="TableContents"/>
              <w:bidi w:val="0"/>
              <w:spacing w:before="0" w:after="283"/>
              <w:jc w:val="left"/>
              <w:rPr/>
            </w:pPr>
            <w:r>
              <w:rPr/>
              <w:t>  </w:t>
            </w:r>
          </w:p>
        </w:tc>
        <w:tc>
          <w:tcPr>
            <w:tcW w:w="19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 of Common</w:t>
              <w:br/>
              <w:t>Stock Beneficially</w:t>
              <w:br/>
              <w:t>Owned Prior to</w:t>
              <w:br/>
              <w:t>This Offering</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883"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 Shares</w:t>
            </w:r>
            <w:r>
              <w:rPr/>
              <w:br/>
            </w:r>
            <w:r>
              <w:rPr>
                <w:b/>
              </w:rPr>
              <w:t>Being Offered in</w:t>
              <w:br/>
              <w:t>This Offering(1)</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1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 of</w:t>
              <w:br/>
              <w:t>Shares (%)</w:t>
            </w:r>
          </w:p>
        </w:tc>
        <w:tc>
          <w:tcPr>
            <w:tcW w:w="68" w:type="dxa"/>
            <w:tcBorders/>
            <w:vAlign w:val="bottom"/>
          </w:tcPr>
          <w:p>
            <w:pPr>
              <w:pStyle w:val="TableContents"/>
              <w:bidi w:val="0"/>
              <w:spacing w:before="0" w:after="283"/>
              <w:jc w:val="left"/>
              <w:rPr/>
            </w:pPr>
            <w:r>
              <w:rPr/>
              <w:t> </w:t>
            </w:r>
          </w:p>
        </w:tc>
      </w:tr>
      <w:tr>
        <w:trPr/>
        <w:tc>
          <w:tcPr>
            <w:tcW w:w="23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Catalyst4, Inc.(2)</w:t>
            </w:r>
          </w:p>
        </w:tc>
        <w:tc>
          <w:tcPr>
            <w:tcW w:w="161"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869" w:type="dxa"/>
            <w:tcBorders/>
            <w:shd w:fill="CCEEFF" w:val="clear"/>
            <w:vAlign w:val="bottom"/>
          </w:tcPr>
          <w:p>
            <w:pPr>
              <w:pStyle w:val="TableContents"/>
              <w:bidi w:val="0"/>
              <w:spacing w:before="0" w:after="283"/>
              <w:jc w:val="right"/>
              <w:rPr/>
            </w:pPr>
            <w:r>
              <w:rPr/>
              <w:t>28,235,375</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775" w:type="dxa"/>
            <w:tcBorders/>
            <w:shd w:fill="CCEEFF" w:val="clear"/>
            <w:vAlign w:val="bottom"/>
          </w:tcPr>
          <w:p>
            <w:pPr>
              <w:pStyle w:val="TableContents"/>
              <w:bidi w:val="0"/>
              <w:spacing w:before="0" w:after="283"/>
              <w:jc w:val="right"/>
              <w:rPr/>
            </w:pPr>
            <w:r>
              <w:rPr/>
              <w:t>7,328,686</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20,906,689</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pPr>
            <w:r>
              <w:rPr/>
              <w:t>37.6</w:t>
            </w:r>
          </w:p>
        </w:tc>
        <w:tc>
          <w:tcPr>
            <w:tcW w:w="68" w:type="dxa"/>
            <w:tcBorders/>
            <w:shd w:fill="CCEEFF" w:val="clear"/>
            <w:vAlign w:val="bottom"/>
          </w:tcPr>
          <w:p>
            <w:pPr>
              <w:pStyle w:val="TableContents"/>
              <w:bidi w:val="0"/>
              <w:spacing w:before="0" w:after="283"/>
              <w:jc w:val="left"/>
              <w:rPr/>
            </w:pPr>
            <w:r>
              <w:rPr/>
              <w:t> </w:t>
            </w:r>
          </w:p>
        </w:tc>
      </w:tr>
      <w:tr>
        <w:trPr/>
        <w:tc>
          <w:tcPr>
            <w:tcW w:w="2304" w:type="dxa"/>
            <w:tcBorders/>
          </w:tcPr>
          <w:p>
            <w:pPr>
              <w:pStyle w:val="TableContents"/>
              <w:bidi w:val="0"/>
              <w:spacing w:before="0" w:after="0"/>
              <w:jc w:val="left"/>
              <w:rPr>
                <w:rFonts w:ascii="Times New Roman" w:hAnsi="Times New Roman"/>
                <w:sz w:val="20"/>
              </w:rPr>
            </w:pPr>
            <w:r>
              <w:rPr>
                <w:rFonts w:ascii="Times New Roman" w:hAnsi="Times New Roman"/>
                <w:sz w:val="20"/>
              </w:rPr>
              <w:t>Forbion Growth Opportunities Fund III Coöperatief U.A.(3)</w:t>
            </w:r>
          </w:p>
        </w:tc>
        <w:tc>
          <w:tcPr>
            <w:tcW w:w="161"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869" w:type="dxa"/>
            <w:tcBorders/>
            <w:vAlign w:val="bottom"/>
          </w:tcPr>
          <w:p>
            <w:pPr>
              <w:pStyle w:val="TableContents"/>
              <w:bidi w:val="0"/>
              <w:spacing w:before="0" w:after="283"/>
              <w:jc w:val="right"/>
              <w:rPr/>
            </w:pPr>
            <w:r>
              <w:rPr/>
              <w:t>4,428,328</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775" w:type="dxa"/>
            <w:tcBorders/>
            <w:vAlign w:val="bottom"/>
          </w:tcPr>
          <w:p>
            <w:pPr>
              <w:pStyle w:val="TableContents"/>
              <w:bidi w:val="0"/>
              <w:spacing w:before="0" w:after="283"/>
              <w:jc w:val="right"/>
              <w:rPr/>
            </w:pPr>
            <w:r>
              <w:rPr/>
              <w:t>755,711</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3,672,617</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pPr>
            <w:r>
              <w:rPr/>
              <w:t>6.6</w:t>
            </w:r>
          </w:p>
        </w:tc>
        <w:tc>
          <w:tcPr>
            <w:tcW w:w="68" w:type="dxa"/>
            <w:tcBorders/>
            <w:vAlign w:val="bottom"/>
          </w:tcPr>
          <w:p>
            <w:pPr>
              <w:pStyle w:val="TableContents"/>
              <w:bidi w:val="0"/>
              <w:spacing w:before="0" w:after="283"/>
              <w:jc w:val="left"/>
              <w:rPr/>
            </w:pPr>
            <w:r>
              <w:rPr/>
              <w:t> </w:t>
            </w:r>
          </w:p>
        </w:tc>
      </w:tr>
      <w:tr>
        <w:trPr/>
        <w:tc>
          <w:tcPr>
            <w:tcW w:w="23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Nan Fung Group Holdings Limited(4)</w:t>
            </w:r>
          </w:p>
        </w:tc>
        <w:tc>
          <w:tcPr>
            <w:tcW w:w="161"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869" w:type="dxa"/>
            <w:tcBorders/>
            <w:shd w:fill="CCEEFF" w:val="clear"/>
            <w:vAlign w:val="bottom"/>
          </w:tcPr>
          <w:p>
            <w:pPr>
              <w:pStyle w:val="TableContents"/>
              <w:bidi w:val="0"/>
              <w:spacing w:before="0" w:after="283"/>
              <w:jc w:val="right"/>
              <w:rPr/>
            </w:pPr>
            <w:r>
              <w:rPr/>
              <w:t>2,911,774</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775" w:type="dxa"/>
            <w:tcBorders/>
            <w:shd w:fill="CCEEFF" w:val="clear"/>
            <w:vAlign w:val="bottom"/>
          </w:tcPr>
          <w:p>
            <w:pPr>
              <w:pStyle w:val="TableContents"/>
              <w:bidi w:val="0"/>
              <w:spacing w:before="0" w:after="283"/>
              <w:jc w:val="right"/>
              <w:rPr/>
            </w:pPr>
            <w:r>
              <w:rPr/>
              <w:t>1,054,481</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1,857,293</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pPr>
            <w:r>
              <w:rPr/>
              <w:t>3.3</w:t>
            </w:r>
          </w:p>
        </w:tc>
        <w:tc>
          <w:tcPr>
            <w:tcW w:w="68" w:type="dxa"/>
            <w:tcBorders/>
            <w:shd w:fill="CCEEFF" w:val="clear"/>
            <w:vAlign w:val="bottom"/>
          </w:tcPr>
          <w:p>
            <w:pPr>
              <w:pStyle w:val="TableContents"/>
              <w:bidi w:val="0"/>
              <w:spacing w:before="0" w:after="283"/>
              <w:jc w:val="left"/>
              <w:rPr/>
            </w:pPr>
            <w:r>
              <w:rPr/>
              <w:t> </w:t>
            </w:r>
          </w:p>
        </w:tc>
      </w:tr>
      <w:tr>
        <w:trPr/>
        <w:tc>
          <w:tcPr>
            <w:tcW w:w="2304"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Baker Bros. Advisors LP(5)</w:t>
            </w:r>
          </w:p>
        </w:tc>
        <w:tc>
          <w:tcPr>
            <w:tcW w:w="161"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869" w:type="dxa"/>
            <w:tcBorders/>
            <w:vAlign w:val="bottom"/>
          </w:tcPr>
          <w:p>
            <w:pPr>
              <w:pStyle w:val="TableContents"/>
              <w:bidi w:val="0"/>
              <w:spacing w:before="0" w:after="283"/>
              <w:jc w:val="right"/>
              <w:rPr/>
            </w:pPr>
            <w:r>
              <w:rPr/>
              <w:t>2,221,245</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775" w:type="dxa"/>
            <w:tcBorders/>
            <w:vAlign w:val="bottom"/>
          </w:tcPr>
          <w:p>
            <w:pPr>
              <w:pStyle w:val="TableContents"/>
              <w:bidi w:val="0"/>
              <w:spacing w:before="0" w:after="283"/>
              <w:jc w:val="right"/>
              <w:rPr/>
            </w:pPr>
            <w:r>
              <w:rPr/>
              <w:t>1,054,482</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1,166,763</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pPr>
            <w:r>
              <w:rPr/>
              <w:t>2.1</w:t>
            </w:r>
          </w:p>
        </w:tc>
        <w:tc>
          <w:tcPr>
            <w:tcW w:w="68" w:type="dxa"/>
            <w:tcBorders/>
            <w:vAlign w:val="bottom"/>
          </w:tcPr>
          <w:p>
            <w:pPr>
              <w:pStyle w:val="TableContents"/>
              <w:bidi w:val="0"/>
              <w:spacing w:before="0" w:after="283"/>
              <w:jc w:val="left"/>
              <w:rPr/>
            </w:pPr>
            <w:r>
              <w:rPr/>
              <w:t> </w:t>
            </w:r>
          </w:p>
        </w:tc>
      </w:tr>
      <w:tr>
        <w:trPr/>
        <w:tc>
          <w:tcPr>
            <w:tcW w:w="23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Goldman Sachs &amp; Co. LLC(6)</w:t>
            </w:r>
          </w:p>
        </w:tc>
        <w:tc>
          <w:tcPr>
            <w:tcW w:w="161"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869" w:type="dxa"/>
            <w:tcBorders/>
            <w:shd w:fill="CCEEFF" w:val="clear"/>
            <w:vAlign w:val="bottom"/>
          </w:tcPr>
          <w:p>
            <w:pPr>
              <w:pStyle w:val="TableContents"/>
              <w:bidi w:val="0"/>
              <w:spacing w:before="0" w:after="283"/>
              <w:jc w:val="right"/>
              <w:rPr/>
            </w:pPr>
            <w:r>
              <w:rPr/>
              <w:t>1,466,074</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775" w:type="dxa"/>
            <w:tcBorders/>
            <w:shd w:fill="CCEEFF" w:val="clear"/>
            <w:vAlign w:val="bottom"/>
          </w:tcPr>
          <w:p>
            <w:pPr>
              <w:pStyle w:val="TableContents"/>
              <w:bidi w:val="0"/>
              <w:spacing w:before="0" w:after="283"/>
              <w:jc w:val="right"/>
              <w:rPr/>
            </w:pPr>
            <w:r>
              <w:rPr/>
              <w:t>878,734</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587,340</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pPr>
            <w:r>
              <w:rPr/>
              <w:t>1.1</w:t>
            </w:r>
          </w:p>
        </w:tc>
        <w:tc>
          <w:tcPr>
            <w:tcW w:w="68" w:type="dxa"/>
            <w:tcBorders/>
            <w:shd w:fill="CCEEFF" w:val="clear"/>
            <w:vAlign w:val="bottom"/>
          </w:tcPr>
          <w:p>
            <w:pPr>
              <w:pStyle w:val="TableContents"/>
              <w:bidi w:val="0"/>
              <w:spacing w:before="0" w:after="283"/>
              <w:jc w:val="left"/>
              <w:rPr/>
            </w:pPr>
            <w:r>
              <w:rPr/>
              <w:t> </w:t>
            </w:r>
          </w:p>
        </w:tc>
      </w:tr>
      <w:tr>
        <w:trPr/>
        <w:tc>
          <w:tcPr>
            <w:tcW w:w="2304" w:type="dxa"/>
            <w:tcBorders/>
          </w:tcPr>
          <w:p>
            <w:pPr>
              <w:pStyle w:val="TableContents"/>
              <w:bidi w:val="0"/>
              <w:spacing w:before="0" w:after="0"/>
              <w:jc w:val="left"/>
              <w:rPr>
                <w:rFonts w:ascii="Times New Roman" w:hAnsi="Times New Roman"/>
                <w:sz w:val="20"/>
              </w:rPr>
            </w:pPr>
            <w:r>
              <w:rPr>
                <w:rFonts w:ascii="Times New Roman" w:hAnsi="Times New Roman"/>
                <w:sz w:val="20"/>
              </w:rPr>
              <w:t>Avego Bioscience Capital, L.P.(7)</w:t>
            </w:r>
          </w:p>
        </w:tc>
        <w:tc>
          <w:tcPr>
            <w:tcW w:w="161"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869" w:type="dxa"/>
            <w:tcBorders/>
            <w:vAlign w:val="bottom"/>
          </w:tcPr>
          <w:p>
            <w:pPr>
              <w:pStyle w:val="TableContents"/>
              <w:bidi w:val="0"/>
              <w:spacing w:before="0" w:after="283"/>
              <w:jc w:val="right"/>
              <w:rPr/>
            </w:pPr>
            <w:r>
              <w:rPr/>
              <w:t>624,703</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775" w:type="dxa"/>
            <w:tcBorders/>
            <w:vAlign w:val="bottom"/>
          </w:tcPr>
          <w:p>
            <w:pPr>
              <w:pStyle w:val="TableContents"/>
              <w:bidi w:val="0"/>
              <w:spacing w:before="0" w:after="283"/>
              <w:jc w:val="right"/>
              <w:rPr/>
            </w:pPr>
            <w:r>
              <w:rPr/>
              <w:t>131,810</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492,893</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pPr>
            <w:r>
              <w:rPr/>
              <w:t>*</w:t>
            </w:r>
          </w:p>
        </w:tc>
        <w:tc>
          <w:tcPr>
            <w:tcW w:w="68" w:type="dxa"/>
            <w:tcBorders/>
            <w:vAlign w:val="bottom"/>
          </w:tcPr>
          <w:p>
            <w:pPr>
              <w:pStyle w:val="TableContents"/>
              <w:bidi w:val="0"/>
              <w:spacing w:before="0" w:after="283"/>
              <w:jc w:val="left"/>
              <w:rPr/>
            </w:pPr>
            <w:r>
              <w:rPr/>
              <w:t> </w:t>
            </w:r>
          </w:p>
        </w:tc>
      </w:tr>
      <w:tr>
        <w:trPr/>
        <w:tc>
          <w:tcPr>
            <w:tcW w:w="23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Deep Track Biotechnology Master Fund, Ltd.(8)</w:t>
            </w:r>
          </w:p>
        </w:tc>
        <w:tc>
          <w:tcPr>
            <w:tcW w:w="161"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869" w:type="dxa"/>
            <w:tcBorders/>
            <w:shd w:fill="CCEEFF" w:val="clear"/>
            <w:vAlign w:val="bottom"/>
          </w:tcPr>
          <w:p>
            <w:pPr>
              <w:pStyle w:val="TableContents"/>
              <w:bidi w:val="0"/>
              <w:spacing w:before="0" w:after="283"/>
              <w:jc w:val="right"/>
              <w:rPr/>
            </w:pPr>
            <w:r>
              <w:rPr/>
              <w:t>1,318,101</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775" w:type="dxa"/>
            <w:tcBorders/>
            <w:shd w:fill="CCEEFF" w:val="clear"/>
            <w:vAlign w:val="bottom"/>
          </w:tcPr>
          <w:p>
            <w:pPr>
              <w:pStyle w:val="TableContents"/>
              <w:bidi w:val="0"/>
              <w:spacing w:before="0" w:after="283"/>
              <w:jc w:val="right"/>
              <w:rPr/>
            </w:pPr>
            <w:r>
              <w:rPr/>
              <w:t>1,318,101</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r>
      <w:tr>
        <w:trPr/>
        <w:tc>
          <w:tcPr>
            <w:tcW w:w="2304"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ADAR1 Capital Management, LLC(9)</w:t>
            </w:r>
          </w:p>
        </w:tc>
        <w:tc>
          <w:tcPr>
            <w:tcW w:w="161"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869" w:type="dxa"/>
            <w:tcBorders/>
            <w:vAlign w:val="bottom"/>
          </w:tcPr>
          <w:p>
            <w:pPr>
              <w:pStyle w:val="TableContents"/>
              <w:bidi w:val="0"/>
              <w:spacing w:before="0" w:after="283"/>
              <w:jc w:val="right"/>
              <w:rPr/>
            </w:pPr>
            <w:r>
              <w:rPr/>
              <w:t>687,465</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775" w:type="dxa"/>
            <w:tcBorders/>
            <w:vAlign w:val="bottom"/>
          </w:tcPr>
          <w:p>
            <w:pPr>
              <w:pStyle w:val="TableContents"/>
              <w:bidi w:val="0"/>
              <w:spacing w:before="0" w:after="283"/>
              <w:jc w:val="right"/>
              <w:rPr/>
            </w:pPr>
            <w:r>
              <w:rPr/>
              <w:t>659,050</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28,415</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pPr>
            <w:r>
              <w:rPr/>
              <w:t>*</w:t>
            </w:r>
          </w:p>
        </w:tc>
        <w:tc>
          <w:tcPr>
            <w:tcW w:w="68"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beneficial ownership of less than 1.0%.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purpose of the calculations of the number of shares being offered pursuant to this prospectus, we have assumed the exercise in full of all of the Pre-Funded Warrants without regard to any beneficial ownership limitations on exercise as described above and as set forth in the Pre-Funded Warrants.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common stock beneficially owned prior to this offering consists of (i) 25,306,689 shares of common stock (including 4,400,000 Shares issued in the Private Placement) and (ii) 2,928,686 Warrant Shares issuable upon the exercise of Pre-Funded Warrants held by Catalyst4, Inc. (“Catalyst4”). Robert Brown, Ekemini Riley and Mark Vorsatz are members of the board of directors of Catalyst4 and may be deemed to have shared voting and dispositive power over the shares held by Catalyst4. The principal business address of Catalyst4 and the individuals named in this footnote is 555 Bryant Street, #376, Palo Alto, California 94301. The rights of Catalyst4 to designate directors described below terminated in connection with our initial public offering. In connection with our sale of Series C convertible preferred stock in July 2023, we entered into an amended and restated voting agreement with certain stockholders, including Catalyst4, which granted Catalyst4 the right to designate one member of our board of directors and to jointly designate, with NFLS Beta Limited, one member of our board of directors, pursuant to which Catalyst4 designated George Pavlov and Timothy Garnett to serve on our board of directors. In connection with our sale of additional shares of Series C convertible preferred stock in October 2023, we entered into an amendment to the amended and restated voting agreement, which granted Catalyst4 the right to designate an additional member of our board of directors. In connection with our sale of Series D convertible preferred stock in July 2025, we entered into an amended and restated voting agreement with certain stockholders, including Catalyst4, which granted Catalyst4 the right to designate three members of our board of directors, pursuant to which Catalyst4 designated Timothy Garnett, George Pavlov and Maria Walker to serve on our board of directors. In connection with our sale of additional shares of Series D convertible preferred stock in September 2025, we entered into an amendment to the amended and restated voting agreement, which granted Catalyst4 the right to designate an additional member of our board of directors. In October 2023, we entered into an assignment and assumption agreement with Stellaromics, Inc. (“Stellaromics”) for the transfer of certain intellectual property and received an equity investment in Stellaromics common stock representing 9.8% of the capital stock of Stellaromics; as of June 30, 2026, we held approximately 2.9% of the outstanding capital stock of Stellaromics. Also in October 2023, Catalyst4 became the largest stockholder of Stellaromics, holding approximately 38.4% of its outstanding capital stock; as of June 30, 2026, Catalyst4 holds a controlling interest of the outstanding capital stock of Stellaromics. George Pavlov, a member of our board of directors, and Christopher A. Kroeger, M.D., our Chief Executive Officer, serve as members of the board of directors of Stellaromics. Dr. Kroeger’s seat on the board of directors of Stellaromics is determined by the stockholders holding a majority of the outstanding shares of common stock of Stellaromics.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common stock beneficially owned prior to this offering consists of 4,428,328 shares of common stock (including 755,711 Shares issued in the Private Placement) held by Forbion Growth Opportunities Fund III Coöperatief U.A. (“Forbion Growth”). Forbion Growth III Management B.V. (“Forbion Management”), is the director of Forbion Growth and may be deemed to have voting and dispositive power over the securities that are held by Forbion Growth. Investment and divestment decisions with respect to Forbion Growth are made by its alternative investment fund manager FCPM III Services B.V. (“FCPM”) upon recommendation by its investment committee, consisting of Nanna Lüneborg, a member of our board of directors, Sander Slootweg, Dirk Kersten, Wouter Joustra, Jasper Bos, Carlo Incerti, Martien van Osch and Geert-Jan Mulder. The natural persons on the board of FCPM are Dirk Kersten, Machteld Groeneveld, Geert-Jan Mulder, Sander Slootweg and Martien van Osch. FCPM directs the Forbion Management in relation to Forbion Growth. The members of the investment committee have an indirect interest in the Forbion Growth. The principal business address of the Forbion Management, the Forbion Growth, FCPM and the individuals named in this footnote is Gooimeer 2-35, 1411 DC Naarden, the Netherlands. In connection with our sale of Series D convertible preferred stock in July 2025, we entered into an amended and restated voting agreement with certain stockholders, including Forbion Growth, which granted Forbion Growth the right to designate one member of our board of directors, pursuant to which Forbion Growth designated Nanna Lüneborg, Ph.D. to serve on our board of directors. Dr. Lüneborg has served as General Partner at Forbion since September 2021. The rights of Forbion Growth to designate a director terminated in connection with our initial public offering.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common stock beneficially owned prior to this offering consists of (i) 611,446 shares of common stock held by Pivotal bioVenture Partners Fund II, L.P. (“Pivotal II”), (ii) 671,606 shares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of common stock held by NFLS Beta Limited (“NFLS Beta”), and (iii) 1,628,722 shares of common stock (including 1,054,481 Shares issued in the Private Placement) held by Permwell Management Limited (“Permwell”). Pivotal bioVenture Partners Fund II G.P. Ltd (“Pivotal II GP”) is the general partner of Pivotal II, and is wholly owned by Pivotal Partners Ltd (“Pivotal Partners”). Pivotal Partners is wholly owned by Pivotal Life Sciences Holdings Limited (“Pivotal Life Sciences” and together with Pivotal II, Pivotal II GP and Pivotal Partners, the “Pivotal Entities”). Pivotal Life Sciences is wholly owned by Nan Fung Life Sciences Holdings Limited (“Nan Fung Life Sciences”), and Nan Fung Life Sciences is wholly owned by NF Investment Holdings Limited (“NFIHL”), which is wholly owned by Nan Fung Group Holdings Limited (“NFGHL”). NFLS Beta is wholly owned by NFLS Platform Holdings Limited (“NFLS Platform”), which is wholly owned by Nan Fung Life Sciences. Permwell is wholly owned by NFIHL. The address of the principal business office of each of the Pivotal Entities is 501 Second Street, Suite 200, San Francisco, CA 94107. The principal business address of each of NFGHL and Permwell is 17th Floor, AIRSIDE, 2 Concorde Road, Kai Tak, Hong Kong. The registered office address of each of NFIHL, Nan Fung Life Sciences and NFLS Beta is Vistra Corporate Services Centre, Wickhams Cay II, Road Town, Tortola, VG1110, British Virgin Islands. The registered office address of NFLS Platform is Cricket Square, Hutchins Drive, P.O. Box 2681, Grand Cayman, KY1-1111, Cayman Islands. In connection with our sale of Series C convertible preferred stock in July 2023, we entered into an amended and restated voting agreement with certain stockholders, including NFLS Beta, which granted NFLS Beta the right to designate one member of our board of directors and to jointly designate, with Catalyst4, one member of our board of directors, pursuant to which NFLS Beta designated Peter Bisgaard and Timothy Garnett to serve on our board of directors. In connection with our sale of Series D convertible preferred stock in July 2025, we entered into an amended and restated voting agreement with certain stockholders, including NFLS Beta, which granted NFLS Beta the right to designate one member of our board of directors, pursuant to which NFLS Beta designated Peter Bisgaard to serve on our board of directors. Mr. Bisgaard served as a member of our board of directors from February 2019 to September 2025. The rights of NFLS Beta to designate a director terminated in connection with our initial public offering.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common stock beneficially owned prior to this offering consists of (i)(a) 1,097,397 shares of common stock and (b) 1,005,774 Warrant Shares issuable upon the exercise of Pre-Funded Warrants held by Baker Brothers Life Sciences, L.P. (“Life Sciences”) and (ii)(a) 69,366 shares of common stock and (b) 48,708 Warrant Shares issuable upon the exercise of Pre-Funded Warrants held by 667, L.P. (“667” and, together with Life Sciences, the “BBA Funds”). Baker Bros. Advisors LP (“BBA”) is the management company and investment advisor to the BBA Funds and has sole voting and investment power with respect to these securities. Baker Bros. Advisors (GP) LLC (the “GP”) is the sole general partner of BBA. Julian C. Baker and Felix J. Baker are managing members of the GP. The GP, Julian C. Baker, Felix J. Baker and BBA may be deemed to be beneficial owners of the securities directly held by the BBA Funds. The business address of BBA, GP, Julian C. Baker and Felix J. Baker is 860 Washington Street, 3rd Floor, New York, NY 10014.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common stock beneficially owned prior to this offering consists of (i) 373,751 shares of common stock (including 169,051 Shares issued in the Private Placement) held by Broad Street Principal Investments LLC (“Broad Street”), (ii) 535,073 shares of common stock (including 242,017 Shares issued in the Private Placement) held by West Street Life Sciences I, LP (“WSLS I”), (iii) 143,482 shares of common stock (including 64,898 Shares issued in the Private Placement) held by WSLS Emp Offshore Investments, L.P. (“WSLS Emp Offshore”), (iv) 380,366 shares of common stock (including 172,042 Shares issued in the Private Placement) held by WSLS Emp Onshore Investments L.P. (“WSLS Emp Onshore”), and (v) 510,109 shares of common stock (including 230,726 Shares issued in the Private Placement) held by WSLS Offshore Investments, SLP (“WSLS Offshore SLP”). Goldman Sachs Asset Management, L.P. (“GSAM LP”), as the investment manager of WSLS I, WSLS Emp Offshore, WSLS Emp Onshore, and WSLS Offshore SLP, may be deemed to have voting and investment power over the shares held of record by these entities. Goldman Sachs &amp; Co. LLC (“GS&amp;Co”), as the manager of Broad Street, may be deemed to have voting and investment power over the shares held of record by Broad Street. GS&amp;Co and GSAM LP are direct and indirect wholly-owned subsidiaries of The Goldman Sachs Group, Inc. (“GS Group”). GS Group is a public entity, and its common stock is publicly traded on the New York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Stock Exchange. The shares were acquired in the ordinary course of the holders’ investment business and not for the purpose of resale or distribution. GS&amp;Co, GSAM LP or GS Group may be deemed to beneficially own the securities held by Broad Street, WSLS I, WSLS Emp Offshore, WSLS Emp Onshore, and WSLS Offshore SLP. The address of GS Group, GS&amp;Co, GSAM LP, Broad Street, WSLS I, WSLS Emp Offshore, and WSLS Emp Onshore is 200 West Street, New York, New York 10282. The address of WSLS Offshore SLP is 12E, Rue Guillaume Kroll, 1882 Luxembourg.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common stock beneficially owned prior to this offering consists of 624,703 shares of common stock (including 131,810 shares issued in the Private Placement) held by Avego Bioscience Capital, L.P. (“Avego Bioscience”). Avego Bioscience Capital GP, LLC (“Avego Bioscience GP”), as the general partner of Avego Bioscience, may be deemed to beneficially own the shares beneficially owned by Avego Bioscience. Avego Management LLC (“Avego Management”) and Velan Capital Investment Management LP (“Velan Capital”) are co-investment managers of Avego Bioscience and may be deemed to beneficially own the shares beneficially owned by Avego Bioscience. Velan Capital Management LLC (“Velan IM GP”), as the general partner of Velan Capital, may be deemed to beneficially own the shares beneficially owned by Avego Bioscience. Balaji Venkataraman, as a Managing Member of each of Avego Bioscience GP, Avego Management and Velan IM GP, may be deemed to beneficially own the shares beneficially owned by Avego Bioscience. Adam Morgan, as a Managing Member of Velan IM GP, may be deemed to beneficially own the shares beneficially owned by Avego Bioscience. The business address of Avego Bioscience, Avego Bioscience GP, Avego Management, Velan Capital and Velan IM GP is 100 North Main Street, Suite 301, Alpharetta, GA 30009.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(8)</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common stock beneficially owned prior to this offering consists of 1,318,101 Shares issued in the Private Placement held by Deep Track Biotechnology Master Fund, Ltd. (“Deep Track”). Deep Track Capital, LP (“Deep Track Capital”) is the investment manager of Deep Track, and Deep Track Capital GP, LLC (“Deep Track GP”, and together with Deep Track and Deep Track Capital, the “Deep Track Entities”) is the general partner of Deep Track Capital. David Kroin is the managing member of Deep Track GP. The business address of the Deep Track Entities and Mr. Kroin is 200 Greenwich Ave, 3rd Floor, Greenwich, CT 06830.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common stock beneficially owned prior to this offering consists of (i) 595,808 shares of common stock (including 571,641 Shares issued in the Private Placement) held by ADAR1 Partners, LP (“ADAR1”), (ii) 89,289 shares of common stock (including 87,409 Shares issued in the Private Placement) held by Spearhead Insurance Solutions IDF, LLC – Series ADAR1 (“Spearhead”); and (iii) 2,368 shares of common stock owned directly by separately managed accounts. ADAR1 Capital Management, LLC (“ADAR1 LLC”), the investment advisor of ADAR1 and the sub-advisor of Spearhead and the separately managed accounts, has voting and investment control of the common stock held by ADAR1, Spearhead and the separately managed accounts. ADAR1 Capital Management GP, LLC (“ADAR1 GP”) is the general partner of ADAR1. Daniel Schneeberger is the manager of ADAR1 LLC and ADAR1 GP. The address of ADAR1, ADAR1 LLC and Mr. Schneeberger is 3503 Wild Cherry Drive, Building 9, Austin, TX 78738. The address of Spearhead is 3828 Kennett Pike, Suite 202, Greenville, </w:t>
            </w:r>
          </w:p>
        </w:tc>
      </w:tr>
    </w:tbl>
    <w:p>
      <w:pPr>
        <w:pStyle w:val="TextBody"/>
        <w:bidi w:val="0"/>
        <w:spacing w:before="0" w:after="0"/>
        <w:jc w:val="left"/>
        <w:rPr>
          <w:rFonts w:ascii="Times New Roman" w:hAnsi="Times New Roman"/>
          <w:sz w:val="20"/>
        </w:rPr>
      </w:pPr>
      <w:r>
        <w:rPr>
          <w:rFonts w:ascii="Times New Roman" w:hAnsi="Times New Roman"/>
          <w:sz w:val="20"/>
        </w:rPr>
        <w:t xml:space="preserve">DE 19807.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x546679_7"/>
      <w:bookmarkEnd w:id="9"/>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use any one or more of the following methods when disposing of shares or interests therein: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distributions to members, partners, stockholders or other equityholders of the selling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the broker-dealer solicits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block trades in which the broker-dealer will attempt to sell the shares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broker-dealer as principal and resale by the broker-dealer for its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exchange distribution in accordance with the rules of the applicable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privately negotiated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short sales and settlement of short sales entered into after the effective date of the registration statement of which this prospectus is a part;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writing or settlement of options or other hedging transactions, whether through an options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broker-dealers that agree with the selling stockholders to sell a specified number of such shares at a stipulated price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combination of any such methods of sale;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method permitted pursuant to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pledgees, transferees or other successors-in-interest as selling stockholders under this prospectus. The selling stockholders also may transfer the shares of common stock in other circumstances, in which case the donees, transferees, pledgees or other successors-in-interest will be the selling stockholders for purposes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create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 Upon any exercise of the Pre-Funded Warrants by payment of cash, however, we will receive the exercise price of the Pre-Funded Warrants.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also may resell all or a portion of the shares in open market transactions in reliance upon Rule 144 under the Securities Act, provided that they meet the criteria and conform to the requirements of that rule, or another available exemption from the registration requirements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and any underwriters, broker-dealers or agents that participate in the sale of the common stock or interests therein may be “underwriters” within the meaning of Section 2(a)(11) of the Securities Act (it being understood that the selling stockholders shall not be deemed to be underwriters solely as a result of their participation in this offering). Any discounts, commissions, concessions or profit they earn on any resale of the shares may be underwriting discounts and commissions under the Securities Act. Selling stockholders who are “underwriters” within the meaning of Section 2(a)(11) of the Securities Act will be subject to the prospectus delivery requirements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To the extent required, the shares of our common stock to be sold, the names of the selling stockholders, the respective purchase prices and public offering prices, the names of any agent, dealer or underwriter, and any applicable commissions or discounts with respect to a particular offer will be set forth in an accompanying prospectus supplement or, if appropriate, a post-effective amendment to the registration statement that includes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 </w:t>
      </w:r>
    </w:p>
    <w:p>
      <w:pPr>
        <w:pStyle w:val="TextBody"/>
        <w:bidi w:val="0"/>
        <w:spacing w:before="240" w:after="0"/>
        <w:jc w:val="left"/>
        <w:rPr>
          <w:rFonts w:ascii="Times New Roman" w:hAnsi="Times New Roman"/>
          <w:sz w:val="20"/>
        </w:rPr>
      </w:pPr>
      <w:r>
        <w:rPr>
          <w:rFonts w:ascii="Times New Roman" w:hAnsi="Times New Roman"/>
          <w:sz w:val="20"/>
        </w:rPr>
        <w:t xml:space="preserve">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indemnify the selling stockholders against liabilities, including liabilities under the Securities Act and state securities laws, relating to the registration of the shares offered by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with the selling stockholders to use reasonable best efforts to cause the registration statement of which this prospectus constitutes a part to become effective and to remain continuously effective until the earlier of: (i) the date on which the selling stockholders shall have resold or otherwise disposed of all the shares covered by this prospectus and (ii) the date on which the shares covered by this prospectus may be resold by the selling stockholders without registration and without regard to any volume or manner-of-sale limitations and without current public information pursuant to Rule 144 under the Securities Act or any other rule of similar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x546679_8"/>
      <w:bookmarkEnd w:id="10"/>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shares of common stock being offered by this prospectus will be passed upon for us by Cooley LLP, Reston, Virginia. As of the date of this prospectus, GC&amp;H Investments, LLC, an entity comprising partners and associates of Cooley LLP, beneficially owns 4,382 shares of our common stock. </w:t>
      </w:r>
    </w:p>
    <w:p>
      <w:pPr>
        <w:pStyle w:val="TextBody"/>
        <w:bidi w:val="0"/>
        <w:spacing w:before="480" w:after="0"/>
        <w:jc w:val="center"/>
        <w:rPr>
          <w:rFonts w:ascii="Times New Roman" w:hAnsi="Times New Roman"/>
          <w:b/>
          <w:sz w:val="20"/>
        </w:rPr>
      </w:pPr>
      <w:bookmarkStart w:id="11" w:name="tx546679_9"/>
      <w:bookmarkEnd w:id="11"/>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MapLight Therapeutics, Inc. and its subsidiary as of December 31, 2025 and 2024 and for the years then ended incorporated in this prospectus by reference from the MapLight Therapeutics, Inc. Annual Report on Form 10-K for the year ended December 31, 2025 have been audited by RSM US LLP, an independent registered public accounting firm, as stated in their report thereon, incorporated herein by reference, and have been incorporated in this prospectus and registration statement in reliance upon such report and upon the authority of such firm as experts in accounting and auditing. </w:t>
      </w:r>
    </w:p>
    <w:p>
      <w:pPr>
        <w:pStyle w:val="TextBody"/>
        <w:bidi w:val="0"/>
        <w:spacing w:before="480" w:after="0"/>
        <w:jc w:val="center"/>
        <w:rPr>
          <w:rFonts w:ascii="Times New Roman" w:hAnsi="Times New Roman"/>
          <w:b/>
          <w:sz w:val="20"/>
        </w:rPr>
      </w:pPr>
      <w:bookmarkStart w:id="12" w:name="tx546679_10"/>
      <w:bookmarkEnd w:id="12"/>
      <w:r>
        <w:rPr>
          <w:rFonts w:ascii="Times New Roman" w:hAnsi="Times New Roman"/>
          <w:b/>
          <w:sz w:val="20"/>
        </w:rPr>
        <w:t xml:space="preserve">WHERE YOU CAN FIND 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have filed with the SEC a registration statement on Form S-1, including exhibits and schedules, under the Securities Act, with respect to the shares of common stock being offered by this prospectus. This prospectus, which constitutes part of the registration statement, does not contain all of the information in the registration statement and its exhibits. For further information with respect to us and the common stock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 </w:t>
      </w:r>
    </w:p>
    <w:p>
      <w:pPr>
        <w:pStyle w:val="TextBody"/>
        <w:bidi w:val="0"/>
        <w:spacing w:before="240" w:after="0"/>
        <w:jc w:val="left"/>
        <w:rPr>
          <w:rFonts w:ascii="Times New Roman" w:hAnsi="Times New Roman"/>
          <w:sz w:val="20"/>
        </w:rPr>
      </w:pPr>
      <w:r>
        <w:rPr>
          <w:rFonts w:ascii="Times New Roman" w:hAnsi="Times New Roman"/>
          <w:sz w:val="20"/>
        </w:rPr>
        <w:t xml:space="preserve">We are subject to the information and periodic and current reporting requirements of the Exchange Act and we, in accordance therewith, file reports, proxy statements, and other information with the SEC. These reports, proxy statements, and other information are available at </w:t>
      </w:r>
      <w:r>
        <w:rPr>
          <w:rFonts w:ascii="Times New Roman" w:hAnsi="Times New Roman"/>
          <w:i/>
          <w:sz w:val="20"/>
        </w:rPr>
        <w:t>www.sec.gov</w:t>
      </w:r>
      <w:r>
        <w:rPr>
          <w:rFonts w:ascii="Times New Roman" w:hAnsi="Times New Roman"/>
          <w:sz w:val="20"/>
        </w:rPr>
        <w:t xml:space="preserve">. We also maintain a website at </w:t>
      </w:r>
      <w:r>
        <w:rPr>
          <w:rFonts w:ascii="Times New Roman" w:hAnsi="Times New Roman"/>
          <w:i/>
          <w:sz w:val="20"/>
        </w:rPr>
        <w:t>www.maplightrx.com</w:t>
      </w:r>
      <w:r>
        <w:rPr>
          <w:rFonts w:ascii="Times New Roman" w:hAnsi="Times New Roman"/>
          <w:sz w:val="20"/>
        </w:rPr>
        <w:t xml:space="preserve">, at which you may access these materials free of charge as soon as reasonably practicable after they are electronically filed with, or furnished to, the SEC. The information contained in, or that can be accessed through, our website is not incorporated by reference in, and is not part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x546679_11"/>
      <w:bookmarkEnd w:id="13"/>
      <w:r>
        <w:rPr>
          <w:rFonts w:ascii="Times New Roman" w:hAnsi="Times New Roman"/>
          <w:b/>
          <w:sz w:val="20"/>
        </w:rPr>
        <w:t xml:space="preserve">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and information that we file later with the SEC will automatically update and supersede this information. Information in this prospectus supersedes information incorporated by reference that we filed with the SEC prior to the date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incorporate by reference into this prospectus and the registration statement of which this prospectus is a part the information or documents listed below that we have filed with the SEC (File No. 001-42914):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Form 10-K for the year ended December 31, 2025, filed with the SEC on </w:t>
            </w:r>
            <w:hyperlink r:id="rId3">
              <w:r>
                <w:rPr>
                  <w:rStyle w:val="InternetLink"/>
                  <w:rFonts w:ascii="Times New Roman" w:hAnsi="Times New Roman"/>
                  <w:sz w:val="20"/>
                </w:rPr>
                <w:t>March 26,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information specifically incorporated by reference into our Annual Report on Form 10-K from our Definitive Proxy Statement on Schedule  14A filed with the SEC on </w:t>
            </w:r>
            <w:hyperlink r:id="rId4">
              <w:r>
                <w:rPr>
                  <w:rStyle w:val="InternetLink"/>
                  <w:rFonts w:ascii="Times New Roman" w:hAnsi="Times New Roman"/>
                  <w:sz w:val="20"/>
                </w:rPr>
                <w:t>April 29,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quarters ended March 31, 2026 and June 30, 2026, filed with the SEC on </w:t>
            </w:r>
            <w:hyperlink r:id="rId5">
              <w:r>
                <w:rPr>
                  <w:rStyle w:val="InternetLink"/>
                  <w:rFonts w:ascii="Times New Roman" w:hAnsi="Times New Roman"/>
                  <w:sz w:val="20"/>
                </w:rPr>
                <w:t>May  14, 2026</w:t>
              </w:r>
            </w:hyperlink>
            <w:r>
              <w:rPr>
                <w:rFonts w:ascii="Times New Roman" w:hAnsi="Times New Roman"/>
                <w:sz w:val="20"/>
              </w:rPr>
              <w:t xml:space="preserve"> and </w:t>
            </w:r>
            <w:hyperlink r:id="rId6">
              <w:r>
                <w:rPr>
                  <w:rStyle w:val="InternetLink"/>
                  <w:rFonts w:ascii="Times New Roman" w:hAnsi="Times New Roman"/>
                  <w:sz w:val="20"/>
                </w:rPr>
                <w:t>August 13, 2026</w:t>
              </w:r>
            </w:hyperlink>
            <w:r>
              <w:rPr>
                <w:rFonts w:ascii="Times New Roman" w:hAnsi="Times New Roman"/>
                <w:sz w:val="20"/>
              </w:rPr>
              <w:t xml:space="preserve">,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7">
              <w:r>
                <w:rPr>
                  <w:rStyle w:val="InternetLink"/>
                  <w:rFonts w:ascii="Times New Roman" w:hAnsi="Times New Roman"/>
                  <w:sz w:val="20"/>
                </w:rPr>
                <w:t>April  29, 2026</w:t>
              </w:r>
            </w:hyperlink>
            <w:r>
              <w:rPr>
                <w:rFonts w:ascii="Times New Roman" w:hAnsi="Times New Roman"/>
                <w:sz w:val="20"/>
              </w:rPr>
              <w:t xml:space="preserve">, </w:t>
            </w:r>
            <w:hyperlink r:id="rId8">
              <w:r>
                <w:rPr>
                  <w:rStyle w:val="InternetLink"/>
                  <w:rFonts w:ascii="Times New Roman" w:hAnsi="Times New Roman"/>
                  <w:sz w:val="20"/>
                </w:rPr>
                <w:t>June  18, 2026</w:t>
              </w:r>
            </w:hyperlink>
            <w:r>
              <w:rPr>
                <w:rFonts w:ascii="Times New Roman" w:hAnsi="Times New Roman"/>
                <w:sz w:val="20"/>
              </w:rPr>
              <w:t xml:space="preserve">, </w:t>
            </w:r>
            <w:hyperlink r:id="rId9">
              <w:r>
                <w:rPr>
                  <w:rStyle w:val="InternetLink"/>
                  <w:rFonts w:ascii="Times New Roman" w:hAnsi="Times New Roman"/>
                  <w:sz w:val="20"/>
                </w:rPr>
                <w:t>June  22, 2026</w:t>
              </w:r>
            </w:hyperlink>
            <w:r>
              <w:rPr>
                <w:rFonts w:ascii="Times New Roman" w:hAnsi="Times New Roman"/>
                <w:sz w:val="20"/>
              </w:rPr>
              <w:t xml:space="preserve">, </w:t>
            </w:r>
            <w:hyperlink r:id="rId10">
              <w:r>
                <w:rPr>
                  <w:rStyle w:val="InternetLink"/>
                  <w:rFonts w:ascii="Times New Roman" w:hAnsi="Times New Roman"/>
                  <w:sz w:val="20"/>
                </w:rPr>
                <w:t>June  24, 2026</w:t>
              </w:r>
            </w:hyperlink>
            <w:r>
              <w:rPr>
                <w:rFonts w:ascii="Times New Roman" w:hAnsi="Times New Roman"/>
                <w:sz w:val="20"/>
              </w:rPr>
              <w:t xml:space="preserve">, </w:t>
            </w:r>
            <w:hyperlink r:id="rId11">
              <w:r>
                <w:rPr>
                  <w:rStyle w:val="InternetLink"/>
                  <w:rFonts w:ascii="Times New Roman" w:hAnsi="Times New Roman"/>
                  <w:sz w:val="20"/>
                </w:rPr>
                <w:t>July  27, 2026</w:t>
              </w:r>
            </w:hyperlink>
            <w:r>
              <w:rPr>
                <w:rFonts w:ascii="Times New Roman" w:hAnsi="Times New Roman"/>
                <w:sz w:val="20"/>
              </w:rPr>
              <w:t xml:space="preserve"> and </w:t>
            </w:r>
            <w:hyperlink r:id="rId12">
              <w:r>
                <w:rPr>
                  <w:rStyle w:val="InternetLink"/>
                  <w:rFonts w:ascii="Times New Roman" w:hAnsi="Times New Roman"/>
                  <w:sz w:val="20"/>
                </w:rPr>
                <w:t>August 13, 2026</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 on </w:t>
            </w:r>
            <w:hyperlink r:id="rId13">
              <w:r>
                <w:rPr>
                  <w:rStyle w:val="InternetLink"/>
                  <w:rFonts w:ascii="Times New Roman" w:hAnsi="Times New Roman"/>
                  <w:sz w:val="20"/>
                </w:rPr>
                <w:t>Form 8-A</w:t>
              </w:r>
            </w:hyperlink>
            <w:r>
              <w:rPr>
                <w:rFonts w:ascii="Times New Roman" w:hAnsi="Times New Roman"/>
                <w:sz w:val="20"/>
              </w:rPr>
              <w:t xml:space="preserve">, filed with the SEC on October 24, 2025, as updated by </w:t>
            </w:r>
            <w:hyperlink r:id="rId14">
              <w:r>
                <w:rPr>
                  <w:rStyle w:val="InternetLink"/>
                  <w:rFonts w:ascii="Times New Roman" w:hAnsi="Times New Roman"/>
                  <w:sz w:val="20"/>
                </w:rPr>
                <w:t>Exhibit 4.2</w:t>
              </w:r>
            </w:hyperlink>
            <w:r>
              <w:rPr>
                <w:rFonts w:ascii="Times New Roman" w:hAnsi="Times New Roman"/>
                <w:sz w:val="20"/>
              </w:rPr>
              <w:t xml:space="preserve"> of our Annual Report on Form 10-K for the year ended December 31, 2025, filed with the SEC on March 26, 2026, including any amendments or reports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all documents (other than current reports furnished under Item 2.02 or Item 7.01 of Form 8-K and exhibits filed on such form that are related to such items) that are filed by us with the SEC pursuant to Sections 13(a), 13(c), 14 or 15(d) of the Exchange Act after the date of the initial registration statement of which this prospectus is a part and prior to the effectiveness of such registration statement and all documents subsequently filed by us pursuant to Sections 13(a), 13(c), 14 or 15(d) of the Exchange Act prior to the termination of the offering (excluding any information furnished rather than filed) shall be deemed to be incorporated by reference into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statements in the preceding paragraphs, no document, report or exhibit (or portion of any of the foregoing) or any other information that we have “furnished” to the SEC pursuant to the Exchange Act shall be incorporated by reference into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will furnish without charge to you, on written or oral request, a copy of any or all of the documents incorporated by reference in this prospectus, including exhibits to these documents. You should direct any requests for documents to MapLight Therapeutics, Inc., Attn: Corporate Secretary, 800 Chesapeake Drive, Redwood City, California 94063, telephone (617) 984-6300. You also may access these filings on our website at </w:t>
      </w:r>
      <w:r>
        <w:rPr>
          <w:rFonts w:ascii="Times New Roman" w:hAnsi="Times New Roman"/>
          <w:i/>
          <w:sz w:val="20"/>
        </w:rPr>
        <w:t>www.maplightrx.com</w:t>
      </w:r>
      <w:r>
        <w:rPr>
          <w:rFonts w:ascii="Times New Roman" w:hAnsi="Times New Roman"/>
          <w:sz w:val="20"/>
        </w:rPr>
        <w:t xml:space="preserve">. We do not incorporate the information on our website into this prospectus and you should not consider any information on, or that can be accessed through, our website as part of this prospectus (other than those filings with the SEC that we specifically incorporate by reference into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in a document incorporated or deemed to be incorporated by reference in this prospectus will be deemed modified, superseded or replaced for purposes of this prospectus to the extent that a statement contained in this prospectus modifies, supersedes or replaces such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120" w:after="0"/>
        <w:jc w:val="center"/>
        <w:rPr>
          <w:rFonts w:ascii="Times New Roman" w:hAnsi="Times New Roman"/>
          <w:b/>
          <w:sz w:val="32"/>
        </w:rPr>
      </w:pPr>
      <w:r>
        <w:rPr>
          <w:rFonts w:ascii="Times New Roman" w:hAnsi="Times New Roman"/>
          <w:b/>
          <w:sz w:val="32"/>
        </w:rPr>
        <w:t xml:space="preserve">13,181,055 Shares </w:t>
      </w:r>
    </w:p>
    <w:p>
      <w:pPr>
        <w:pStyle w:val="TextBody"/>
        <w:bidi w:val="0"/>
        <w:spacing w:before="0" w:after="0"/>
        <w:jc w:val="left"/>
        <w:rPr/>
      </w:pPr>
      <w:r>
        <w:rPr/>
        <w:t> </w:t>
      </w:r>
    </w:p>
    <w:p>
      <w:pPr>
        <w:pStyle w:val="TextBody"/>
        <w:bidi w:val="0"/>
        <w:spacing w:before="0" w:after="0"/>
        <w:jc w:val="center"/>
        <w:rPr/>
      </w:pPr>
      <w:r>
        <w:rPr/>
        <w:drawing>
          <wp:inline distT="0" distB="0" distL="0" distR="0">
            <wp:extent cx="1943735" cy="35306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5"/>
                    <a:stretch>
                      <a:fillRect/>
                    </a:stretch>
                  </pic:blipFill>
                  <pic:spPr bwMode="auto">
                    <a:xfrm>
                      <a:off x="0" y="0"/>
                      <a:ext cx="1943735" cy="35306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120" w:after="0"/>
        <w:jc w:val="center"/>
        <w:rPr>
          <w:rFonts w:ascii="Times New Roman" w:hAnsi="Times New Roman"/>
          <w:b/>
          <w:sz w:val="48"/>
        </w:rPr>
      </w:pPr>
      <w:r>
        <w:rPr>
          <w:rFonts w:ascii="Times New Roman" w:hAnsi="Times New Roman"/>
          <w:b/>
          <w:sz w:val="48"/>
        </w:rPr>
        <w:t xml:space="preserve">MapLight Therapeutics, Inc. </w:t>
      </w:r>
    </w:p>
    <w:p>
      <w:pPr>
        <w:pStyle w:val="TextBody"/>
        <w:bidi w:val="0"/>
        <w:spacing w:before="0" w:after="0"/>
        <w:jc w:val="left"/>
        <w:rPr/>
      </w:pPr>
      <w:r>
        <w:rPr/>
        <w:t> </w:t>
      </w:r>
    </w:p>
    <w:p>
      <w:pPr>
        <w:pStyle w:val="TextBody"/>
        <w:bidi w:val="0"/>
        <w:spacing w:before="12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PRELIMINARY PROSPECTUS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center"/>
        <w:rPr/>
      </w:pPr>
      <w:r>
        <w:rPr/>
        <w:t>   </w:t>
      </w:r>
      <w:r>
        <w:rPr>
          <w:rFonts w:ascii="Times New Roman" w:hAnsi="Times New Roman"/>
          <w:b/>
          <w:sz w:val="20"/>
        </w:rPr>
        <w:t xml:space="preserve">, 2026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120" w:after="0"/>
        <w:jc w:val="center"/>
        <w:rPr>
          <w:rFonts w:ascii="Times New Roman" w:hAnsi="Times New Roman"/>
          <w:b/>
          <w:sz w:val="20"/>
        </w:rPr>
      </w:pPr>
      <w:r>
        <w:rPr>
          <w:rFonts w:ascii="Times New Roman" w:hAnsi="Times New Roman"/>
          <w:b/>
          <w:sz w:val="20"/>
        </w:rPr>
        <w:t xml:space="preserve">INFORMATION NOT REQUIRED IN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Item 13. Other Expenses of Issuance and Distribution.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an estimate of the fees and expenses payable by us in connection with the sale of the securities being registered. All amounts are estimated except the U.S. Securities and Exchange Commission, or SEC, registration fee.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336"/>
        <w:gridCol w:w="461"/>
        <w:gridCol w:w="141"/>
        <w:gridCol w:w="937"/>
        <w:gridCol w:w="64"/>
      </w:tblGrid>
      <w:tr>
        <w:trPr/>
        <w:tc>
          <w:tcPr>
            <w:tcW w:w="5336" w:type="dxa"/>
            <w:tcBorders/>
            <w:vAlign w:val="center"/>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336"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pPr>
            <w:r>
              <w:rPr/>
              <w:t>  </w:t>
            </w:r>
          </w:p>
        </w:tc>
        <w:tc>
          <w:tcPr>
            <w:tcW w:w="10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4" w:type="dxa"/>
            <w:tcBorders/>
            <w:vAlign w:val="bottom"/>
          </w:tcPr>
          <w:p>
            <w:pPr>
              <w:pStyle w:val="TableContents"/>
              <w:bidi w:val="0"/>
              <w:spacing w:before="0" w:after="283"/>
              <w:jc w:val="left"/>
              <w:rPr/>
            </w:pPr>
            <w:r>
              <w:rPr/>
              <w:t> </w:t>
            </w:r>
          </w:p>
        </w:tc>
      </w:tr>
      <w:tr>
        <w:trPr/>
        <w:tc>
          <w:tcPr>
            <w:tcW w:w="53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 registration fee</w:t>
            </w:r>
          </w:p>
        </w:tc>
        <w:tc>
          <w:tcPr>
            <w:tcW w:w="46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937" w:type="dxa"/>
            <w:tcBorders/>
            <w:shd w:fill="CCEEFF" w:val="clear"/>
            <w:vAlign w:val="bottom"/>
          </w:tcPr>
          <w:p>
            <w:pPr>
              <w:pStyle w:val="TableContents"/>
              <w:bidi w:val="0"/>
              <w:spacing w:before="0" w:after="283"/>
              <w:jc w:val="right"/>
              <w:rPr/>
            </w:pPr>
            <w:r>
              <w:rPr/>
              <w:t>24,046</w:t>
            </w:r>
          </w:p>
        </w:tc>
        <w:tc>
          <w:tcPr>
            <w:tcW w:w="64" w:type="dxa"/>
            <w:tcBorders/>
            <w:shd w:fill="CCEEFF" w:val="clear"/>
            <w:vAlign w:val="bottom"/>
          </w:tcPr>
          <w:p>
            <w:pPr>
              <w:pStyle w:val="TableContents"/>
              <w:bidi w:val="0"/>
              <w:spacing w:before="0" w:after="283"/>
              <w:jc w:val="left"/>
              <w:rPr/>
            </w:pPr>
            <w:r>
              <w:rPr/>
              <w:t> </w:t>
            </w:r>
          </w:p>
        </w:tc>
      </w:tr>
      <w:tr>
        <w:trPr/>
        <w:tc>
          <w:tcPr>
            <w:tcW w:w="5336" w:type="dxa"/>
            <w:tcBorders/>
          </w:tcPr>
          <w:p>
            <w:pPr>
              <w:pStyle w:val="TableContents"/>
              <w:bidi w:val="0"/>
              <w:spacing w:before="0" w:after="0"/>
              <w:jc w:val="left"/>
              <w:rPr>
                <w:rFonts w:ascii="Times New Roman" w:hAnsi="Times New Roman"/>
                <w:sz w:val="20"/>
              </w:rPr>
            </w:pPr>
            <w:r>
              <w:rPr>
                <w:rFonts w:ascii="Times New Roman" w:hAnsi="Times New Roman"/>
                <w:sz w:val="20"/>
              </w:rPr>
              <w:t>Legal fees and expenses</w:t>
            </w:r>
          </w:p>
        </w:tc>
        <w:tc>
          <w:tcPr>
            <w:tcW w:w="46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100,000</w:t>
            </w:r>
          </w:p>
        </w:tc>
        <w:tc>
          <w:tcPr>
            <w:tcW w:w="64" w:type="dxa"/>
            <w:tcBorders/>
            <w:vAlign w:val="bottom"/>
          </w:tcPr>
          <w:p>
            <w:pPr>
              <w:pStyle w:val="TableContents"/>
              <w:bidi w:val="0"/>
              <w:spacing w:before="0" w:after="283"/>
              <w:jc w:val="left"/>
              <w:rPr/>
            </w:pPr>
            <w:r>
              <w:rPr/>
              <w:t> </w:t>
            </w:r>
          </w:p>
        </w:tc>
      </w:tr>
      <w:tr>
        <w:trPr/>
        <w:tc>
          <w:tcPr>
            <w:tcW w:w="53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Accounting fees and expenses</w:t>
            </w:r>
          </w:p>
        </w:tc>
        <w:tc>
          <w:tcPr>
            <w:tcW w:w="46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26,000</w:t>
            </w:r>
          </w:p>
        </w:tc>
        <w:tc>
          <w:tcPr>
            <w:tcW w:w="64" w:type="dxa"/>
            <w:tcBorders/>
            <w:shd w:fill="CCEEFF" w:val="clear"/>
            <w:vAlign w:val="bottom"/>
          </w:tcPr>
          <w:p>
            <w:pPr>
              <w:pStyle w:val="TableContents"/>
              <w:bidi w:val="0"/>
              <w:spacing w:before="0" w:after="283"/>
              <w:jc w:val="left"/>
              <w:rPr/>
            </w:pPr>
            <w:r>
              <w:rPr/>
              <w:t> </w:t>
            </w:r>
          </w:p>
        </w:tc>
      </w:tr>
      <w:tr>
        <w:trPr/>
        <w:tc>
          <w:tcPr>
            <w:tcW w:w="5336" w:type="dxa"/>
            <w:tcBorders/>
          </w:tcPr>
          <w:p>
            <w:pPr>
              <w:pStyle w:val="TableContents"/>
              <w:bidi w:val="0"/>
              <w:spacing w:before="0" w:after="0"/>
              <w:jc w:val="left"/>
              <w:rPr>
                <w:rFonts w:ascii="Times New Roman" w:hAnsi="Times New Roman"/>
                <w:sz w:val="20"/>
              </w:rPr>
            </w:pPr>
            <w:r>
              <w:rPr>
                <w:rFonts w:ascii="Times New Roman" w:hAnsi="Times New Roman"/>
                <w:sz w:val="20"/>
              </w:rPr>
              <w:t>Miscellaneous fees and expenses</w:t>
            </w:r>
          </w:p>
        </w:tc>
        <w:tc>
          <w:tcPr>
            <w:tcW w:w="46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59,954</w:t>
            </w:r>
          </w:p>
        </w:tc>
        <w:tc>
          <w:tcPr>
            <w:tcW w:w="64" w:type="dxa"/>
            <w:tcBorders/>
            <w:vAlign w:val="bottom"/>
          </w:tcPr>
          <w:p>
            <w:pPr>
              <w:pStyle w:val="TableContents"/>
              <w:bidi w:val="0"/>
              <w:spacing w:before="0" w:after="283"/>
              <w:jc w:val="left"/>
              <w:rPr/>
            </w:pPr>
            <w:r>
              <w:rPr/>
              <w:t> </w:t>
            </w:r>
          </w:p>
        </w:tc>
      </w:tr>
      <w:tr>
        <w:trPr/>
        <w:tc>
          <w:tcPr>
            <w:tcW w:w="5336" w:type="dxa"/>
            <w:tcBorders/>
            <w:vAlign w:val="bottom"/>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937"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3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6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937" w:type="dxa"/>
            <w:tcBorders/>
            <w:shd w:fill="CCEEFF" w:val="clear"/>
            <w:vAlign w:val="bottom"/>
          </w:tcPr>
          <w:p>
            <w:pPr>
              <w:pStyle w:val="TableContents"/>
              <w:bidi w:val="0"/>
              <w:spacing w:before="0" w:after="283"/>
              <w:jc w:val="right"/>
              <w:rPr/>
            </w:pPr>
            <w:r>
              <w:rPr/>
              <w:t>210,000</w:t>
            </w:r>
          </w:p>
        </w:tc>
        <w:tc>
          <w:tcPr>
            <w:tcW w:w="64" w:type="dxa"/>
            <w:tcBorders/>
            <w:shd w:fill="CCEEFF" w:val="clear"/>
            <w:vAlign w:val="bottom"/>
          </w:tcPr>
          <w:p>
            <w:pPr>
              <w:pStyle w:val="TableContents"/>
              <w:bidi w:val="0"/>
              <w:spacing w:before="0" w:after="283"/>
              <w:jc w:val="left"/>
              <w:rPr/>
            </w:pPr>
            <w:r>
              <w:rPr/>
              <w:t> </w:t>
            </w:r>
          </w:p>
        </w:tc>
      </w:tr>
      <w:tr>
        <w:trPr/>
        <w:tc>
          <w:tcPr>
            <w:tcW w:w="5336" w:type="dxa"/>
            <w:tcBorders/>
            <w:vAlign w:val="bottom"/>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937"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Item 14.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We are incorporated under the laws of the State of Delaware. Section 102(b)(7) of the Delaware General Corporation Law, or DGCL, permits a corporation to provide in its certificate of incorporation that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for unlawful payments of dividends or unlawful stock repurchases, redemptions, or other distributions or (iv) for any transaction from which the director derived an improper personal benefit. </w:t>
      </w:r>
    </w:p>
    <w:p>
      <w:pPr>
        <w:pStyle w:val="TextBody"/>
        <w:bidi w:val="0"/>
        <w:spacing w:before="240" w:after="0"/>
        <w:jc w:val="left"/>
        <w:rPr>
          <w:rFonts w:ascii="Times New Roman" w:hAnsi="Times New Roman"/>
          <w:sz w:val="20"/>
        </w:rPr>
      </w:pPr>
      <w:r>
        <w:rPr>
          <w:rFonts w:ascii="Times New Roman" w:hAnsi="Times New Roman"/>
          <w:sz w:val="20"/>
        </w:rPr>
        <w:t xml:space="preserve">Section 145 of the DGCL provides that a corporation has the power to indemnify a director, officer, employee or agent of the corporation and certain other persons serving at the request of the corporation in related capacities against expenses (including attorneys’ fees), judgments, fines and amounts paid in settlements actually and reasonably incurred by the person in connection with an action, suit or proceeding to which he is or is threatened to be made a party by reason of such position, if such person acted in good faith and in a manner he reasonably believed to be in or not opposed to the best interests of the corporation, and, in any criminal action or proceeding, had no reasonable cause to believe his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 </w:t>
      </w:r>
    </w:p>
    <w:p>
      <w:pPr>
        <w:pStyle w:val="TextBody"/>
        <w:bidi w:val="0"/>
        <w:spacing w:before="240" w:after="0"/>
        <w:jc w:val="left"/>
        <w:rPr>
          <w:rFonts w:ascii="Times New Roman" w:hAnsi="Times New Roman"/>
          <w:sz w:val="20"/>
        </w:rPr>
      </w:pPr>
      <w:r>
        <w:rPr>
          <w:rFonts w:ascii="Times New Roman" w:hAnsi="Times New Roman"/>
          <w:sz w:val="20"/>
        </w:rPr>
        <w:t xml:space="preserve">As permitted by the DGCL, our amended and restated certificate of incorporation and amended and restated bylaws provide that: (i) we are required to indemnify our directors to the fullest extent permitted by the DGCL; (ii) we may, in our discretion, indemnify our officers, employees and other agents as set forth in the DGCL; (iii) we are required, upon satisfaction of certain conditions, to advance all expenses incurred by our directors in connection with certain legal proceedings; (iv) the rights conferred in the bylaws are not exclusive; and (v) we are authorized to enter into indemnification agreements with our directors, officers, employees and agents.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indemnification agreements with each of our directors and executive officers that require us to indemnify them against expenses, judgments, fines, settlements and other amounts that any such person becomes legally obligated to pay (including with respect to a derivative action) in connection with any proceeding, whether actual or threatened, to which such person may be made a party by reason of the fact that such person is or was a director or officer of us or any of our affiliates, provided such person acted in good faith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in a manner such person reasonably believed to be in, or not opposed to, our best interests. The indemnification agreements also set forth certain procedures that will apply in the event of a claim for indemnification thereunder. At present, no litigation or proceeding is pending that involves any of our directors or officers regarding which indemnification is sought, nor are we aware of any threatened litigation that may result in claims for 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We maintain a directors’ and officers’ liability insurance policy. The policy insures directors and officers against unindemnified losses arising from certain wrongful acts in their capacities as directors and officers and reimburses us for those losses for which we have lawfully indemnified the directors and officers. The policy contains various exclusions.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Registration Rights Agreement filed as Exhibit 10.12 to this registration statement provides for indemnification by the investors, severally and not jointly, of us, each of our directors, each of our officers who have signed this registration statement, and each person who controls us within the meaning of the Securities Act of 1933, as amended, or the Securities Act, or the Securities Exchange Act of 1934, as amended, or the Exchange Act, for certain liabilities based upon (i) any untrue statement or alleged untrue statement or omission or alleged omission of any material fact contained in this registration statement, or any prospectus, amendment or supplement relating thereto, or (ii) any violation or alleged violation by us or any of our subsidiaries of the Securities Act, the Exchange Act, or any other state securities or other “blue sky” laws of any jurisdiction in which the securities registered hereunder are offered and relating to action or inaction required of us in connection with such registration, in each case only to the extent such liabilities result from information about an investor furnished in writing by such investor for use in connection with the preparation of this registration statement or such prospectus, amendment or supplement relating thereto, subject to certain limits. </w:t>
      </w:r>
    </w:p>
    <w:p>
      <w:pPr>
        <w:pStyle w:val="TextBody"/>
        <w:bidi w:val="0"/>
        <w:spacing w:before="360" w:after="0"/>
        <w:jc w:val="left"/>
        <w:rPr>
          <w:rFonts w:ascii="Times New Roman" w:hAnsi="Times New Roman"/>
          <w:b/>
          <w:sz w:val="20"/>
        </w:rPr>
      </w:pPr>
      <w:r>
        <w:rPr>
          <w:rFonts w:ascii="Times New Roman" w:hAnsi="Times New Roman"/>
          <w:b/>
          <w:sz w:val="20"/>
        </w:rPr>
        <w:t xml:space="preserve">Item 15. Recent Sales of Unregistered Securities. </w:t>
      </w:r>
    </w:p>
    <w:p>
      <w:pPr>
        <w:pStyle w:val="TextBody"/>
        <w:bidi w:val="0"/>
        <w:spacing w:before="120" w:after="0"/>
        <w:jc w:val="left"/>
        <w:rPr>
          <w:rFonts w:ascii="Times New Roman" w:hAnsi="Times New Roman"/>
          <w:sz w:val="20"/>
        </w:rPr>
      </w:pPr>
      <w:r>
        <w:rPr>
          <w:rFonts w:ascii="Times New Roman" w:hAnsi="Times New Roman"/>
          <w:sz w:val="20"/>
        </w:rPr>
        <w:t xml:space="preserve">Set forth below is information regarding all unregistered securities issued and options granted by us since January 1, 2023 through the date of this registration statement: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Issuances of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In July 2023, we issued 32,739,009 shares of our Series C convertible preferred stock to six individual and institutional accredited investors at a purchase price of $1.52723 per share, for aggregate consideration of $50.0 million. </w:t>
      </w:r>
    </w:p>
    <w:p>
      <w:pPr>
        <w:pStyle w:val="TextBody"/>
        <w:bidi w:val="0"/>
        <w:spacing w:before="240" w:after="0"/>
        <w:jc w:val="left"/>
        <w:rPr>
          <w:rFonts w:ascii="Times New Roman" w:hAnsi="Times New Roman"/>
          <w:sz w:val="20"/>
        </w:rPr>
      </w:pPr>
      <w:r>
        <w:rPr>
          <w:rFonts w:ascii="Times New Roman" w:hAnsi="Times New Roman"/>
          <w:sz w:val="20"/>
        </w:rPr>
        <w:t xml:space="preserve">In October 2023, we issued 36,012,910 shares of our Series C convertible preferred stock to 12 individual and institutional accredited investors at a purchase price of $1.52723 per share, for aggregate consideration of $55.0 million. </w:t>
      </w:r>
    </w:p>
    <w:p>
      <w:pPr>
        <w:pStyle w:val="TextBody"/>
        <w:bidi w:val="0"/>
        <w:spacing w:before="240" w:after="0"/>
        <w:jc w:val="left"/>
        <w:rPr>
          <w:rFonts w:ascii="Times New Roman" w:hAnsi="Times New Roman"/>
          <w:sz w:val="20"/>
        </w:rPr>
      </w:pPr>
      <w:r>
        <w:rPr>
          <w:rFonts w:ascii="Times New Roman" w:hAnsi="Times New Roman"/>
          <w:sz w:val="20"/>
        </w:rPr>
        <w:t xml:space="preserve">In March 2024, we issued 78,573,608 shares of our Series C convertible preferred stock to 12 individual and institutional accredited investors at a purchase price of $1.52723 per share, for aggregate consideration of $120.0 million. </w:t>
      </w:r>
    </w:p>
    <w:p>
      <w:pPr>
        <w:pStyle w:val="TextBody"/>
        <w:bidi w:val="0"/>
        <w:spacing w:before="240" w:after="0"/>
        <w:jc w:val="left"/>
        <w:rPr>
          <w:rFonts w:ascii="Times New Roman" w:hAnsi="Times New Roman"/>
          <w:sz w:val="20"/>
        </w:rPr>
      </w:pPr>
      <w:r>
        <w:rPr>
          <w:rFonts w:ascii="Times New Roman" w:hAnsi="Times New Roman"/>
          <w:sz w:val="20"/>
        </w:rPr>
        <w:t xml:space="preserve">In July 2025, we issued 197,628,635 shares of our Series D convertible preferred stock to 19 institutional accredited investors at a purchase price of $0.95223 per share, for aggregate consideration of $188.2 million. </w:t>
      </w:r>
    </w:p>
    <w:p>
      <w:pPr>
        <w:pStyle w:val="TextBody"/>
        <w:bidi w:val="0"/>
        <w:spacing w:before="240" w:after="0"/>
        <w:jc w:val="left"/>
        <w:rPr>
          <w:rFonts w:ascii="Times New Roman" w:hAnsi="Times New Roman"/>
          <w:sz w:val="20"/>
        </w:rPr>
      </w:pPr>
      <w:r>
        <w:rPr>
          <w:rFonts w:ascii="Times New Roman" w:hAnsi="Times New Roman"/>
          <w:sz w:val="20"/>
        </w:rPr>
        <w:t xml:space="preserve">In September 2025, we issued 12,404,650 shares of our Series D convertible preferred stock to two institutional accredited investors at a purchase price of $0.95223 per share, for aggregate consideration of $11.8 million. </w:t>
      </w:r>
    </w:p>
    <w:p>
      <w:pPr>
        <w:pStyle w:val="TextBody"/>
        <w:bidi w:val="0"/>
        <w:spacing w:before="240" w:after="0"/>
        <w:jc w:val="left"/>
        <w:rPr>
          <w:rFonts w:ascii="Times New Roman" w:hAnsi="Times New Roman"/>
          <w:sz w:val="20"/>
        </w:rPr>
      </w:pPr>
      <w:r>
        <w:rPr>
          <w:rFonts w:ascii="Times New Roman" w:hAnsi="Times New Roman"/>
          <w:sz w:val="20"/>
        </w:rPr>
        <w:t xml:space="preserve">The offers, sales and issuances of the shares of convertible preferred stock described above were exempt under Section 4(a)(2) of the Securities Act or Rule 506 of Regulation D under the Securities Act as a transaction by an issuer not involving a public offering. The recipients of the securities in each of these transactions acquired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securities for investment only and not with a view to or for sale in connection with any distribution thereof and appropriate legends were affixed to the securities issued in these transactions. Each of the recipients of securities in these transactions was an accredited investor within the meaning of Rule 501 of Regulation D under the Securities Act and had adequate access, through employment, business or other relationships, to information about us. No underwriters were involved in these transactions.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Issuances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In October 2025, concurrently with the closing of our initial public offering, we issued 476,707 shares of our common stock to affiliates of Goldman Sachs &amp; Co. LLC, including certain investment funds managed by Goldman Sachs &amp; Co. LLC, each of which were existing stockholders, at a purchase price of $17.00 per share, for aggregate consideration of $8.1 million. Morgan Stanley &amp; Co. LLC, Jefferies LLC, Leerink Partners LLC and Stifel, Nicolaus &amp; Company, Incorporated acted as placement agents for the concurrent private placement, and we paid a placement agent fee equal to 7.0% of the total purchase price of the shares sold in the concurrent private placement. The common stock issued and sold in the concurrent private placement was issued and sold pursuant to Section 4(a)(2) of the Securities Act. Each purchaser represented that it is an institutional “accredited investor” within the meaning of Rule 501 of Regulation D under the Securities Act and was acquiring the common stock for investment purposes only and not with a view to any public distribution or with any intention of selling, distributing or otherwise disposing of the common stock in a manner that would violate the registration requirements of the Securities Act. The common stock was offered without any general solicitation by us or our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In October 2025, upon the closing of our initial public offering, all shares of our then outstanding convertible preferred stock were automatically converted into 25,412,974 shares of common stock (of which 2,727,511 shares were non-voting common stock). The issuance of such shares of common stock was exempt from registration under Section 3(a)(9) of the Securities Act. </w:t>
      </w:r>
    </w:p>
    <w:p>
      <w:pPr>
        <w:pStyle w:val="TextBody"/>
        <w:bidi w:val="0"/>
        <w:spacing w:before="360" w:after="0"/>
        <w:jc w:val="left"/>
        <w:rPr>
          <w:rFonts w:ascii="Times New Roman" w:hAnsi="Times New Roman"/>
          <w:b/>
          <w:i/>
          <w:sz w:val="20"/>
        </w:rPr>
      </w:pPr>
      <w:r>
        <w:rPr>
          <w:rFonts w:ascii="Times New Roman" w:hAnsi="Times New Roman"/>
          <w:b/>
          <w:i/>
          <w:sz w:val="20"/>
        </w:rPr>
        <w:t xml:space="preserve">Issuance of Common Stock and Pre-Funded Warrants </w:t>
      </w:r>
    </w:p>
    <w:p>
      <w:pPr>
        <w:pStyle w:val="TextBody"/>
        <w:bidi w:val="0"/>
        <w:spacing w:before="120" w:after="0"/>
        <w:jc w:val="left"/>
        <w:rPr>
          <w:rFonts w:ascii="Times New Roman" w:hAnsi="Times New Roman"/>
          <w:sz w:val="20"/>
        </w:rPr>
      </w:pPr>
      <w:r>
        <w:rPr>
          <w:rFonts w:ascii="Times New Roman" w:hAnsi="Times New Roman"/>
          <w:sz w:val="20"/>
        </w:rPr>
        <w:t xml:space="preserve">In August 2026, we issued (i) 9,197,887 shares of common stock, at a purchase price of $11.38 per share, and (ii) pre-funded warrants to purchase 3,983,168 shares of common stock, at a purchase price of $11.3799 per share underlying the pre-funded warrants. The offer, sale and issuance of these securities was exempt under Section 4(a)(2) of the Securities Act as a transaction by an issuer not involving a public offering. Each purchaser represented that it is an institutional “accredited investor” within the meaning of Rule 501(a)(1), (2), (3) and (7) of Regulation D under the Securities Act and was acquiring the securities for investment purposes only and not with a view to any public distribution or with any intention of selling, distributing or otherwise disposing of the securities in a manner that would violate the registration requirements of the Securities Act. The securities were offered without any general solicitation or general advertising.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Issuances Pursuant to our Equity Plans </w:t>
      </w:r>
    </w:p>
    <w:p>
      <w:pPr>
        <w:pStyle w:val="TextBody"/>
        <w:bidi w:val="0"/>
        <w:spacing w:before="120" w:after="0"/>
        <w:jc w:val="left"/>
        <w:rPr>
          <w:rFonts w:ascii="Times New Roman" w:hAnsi="Times New Roman"/>
          <w:sz w:val="20"/>
        </w:rPr>
      </w:pPr>
      <w:r>
        <w:rPr>
          <w:rFonts w:ascii="Times New Roman" w:hAnsi="Times New Roman"/>
          <w:sz w:val="20"/>
        </w:rPr>
        <w:t xml:space="preserve">From January 1, 2023 through October 25, 2025, we granted options under our 2019 Equity Incentive Plan to purchase an aggregate of 217,789 shares of common stock, at a weighted-average exercise price of $9.92 per share, to our employees, directors and consultants. From January 1, 2023 through October 25, 2025, 122,482 shares have been issued upon the exercise of options for aggregate consideration of $524,465. </w:t>
      </w:r>
    </w:p>
    <w:p>
      <w:pPr>
        <w:pStyle w:val="TextBody"/>
        <w:bidi w:val="0"/>
        <w:spacing w:before="240" w:after="0"/>
        <w:jc w:val="left"/>
        <w:rPr>
          <w:rFonts w:ascii="Times New Roman" w:hAnsi="Times New Roman"/>
          <w:sz w:val="20"/>
        </w:rPr>
      </w:pPr>
      <w:r>
        <w:rPr>
          <w:rFonts w:ascii="Times New Roman" w:hAnsi="Times New Roman"/>
          <w:sz w:val="20"/>
        </w:rPr>
        <w:t xml:space="preserve">From January 1, 2023 through October 25, 2025, we granted 6,392,854 RSUs to our employees, directors and consultants under the 2019 Equity Incentive Plan to be settled in shares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None of the foregoing transactions involved any underwriters, underwriting discounts or commissions, or any public offering. These transactions were exempt from registration under the Securities Act in reliance on Section 4(a)(2) of the Securities Act or Rule 701 promulgated under Section 3(b) of the Securities Act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transactions by an issuer not involving any public offering or under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on the stock certificates issued in these transactions. All recipients had adequate access, through their relationships with us, to information about us. The sales of these securities were made without any general solicitation or advertising. </w:t>
      </w:r>
    </w:p>
    <w:p>
      <w:pPr>
        <w:pStyle w:val="TextBody"/>
        <w:bidi w:val="0"/>
        <w:spacing w:before="360" w:after="0"/>
        <w:jc w:val="left"/>
        <w:rPr>
          <w:rFonts w:ascii="Times New Roman" w:hAnsi="Times New Roman"/>
          <w:b/>
          <w:sz w:val="20"/>
        </w:rPr>
      </w:pPr>
      <w:r>
        <w:rPr>
          <w:rFonts w:ascii="Times New Roman" w:hAnsi="Times New Roman"/>
          <w:b/>
          <w:sz w:val="20"/>
        </w:rPr>
        <w:t xml:space="preserve">Item 16. Exhibits and Financial Statement Schedules. </w:t>
      </w:r>
    </w:p>
    <w:p>
      <w:pPr>
        <w:pStyle w:val="TextBody"/>
        <w:bidi w:val="0"/>
        <w:spacing w:before="120" w:after="0"/>
        <w:jc w:val="left"/>
        <w:rPr>
          <w:rFonts w:ascii="Times New Roman" w:hAnsi="Times New Roman"/>
          <w:b/>
          <w:i/>
          <w:sz w:val="20"/>
        </w:rPr>
      </w:pPr>
      <w:r>
        <w:rPr>
          <w:rFonts w:ascii="Times New Roman" w:hAnsi="Times New Roman"/>
          <w:b/>
          <w:i/>
          <w:sz w:val="20"/>
        </w:rPr>
        <w:t xml:space="preserve">(a) Exhibits. </w:t>
      </w:r>
    </w:p>
    <w:p>
      <w:pPr>
        <w:pStyle w:val="TextBody"/>
        <w:bidi w:val="0"/>
        <w:spacing w:before="120" w:after="0"/>
        <w:jc w:val="left"/>
        <w:rPr>
          <w:rFonts w:ascii="Times New Roman" w:hAnsi="Times New Roman"/>
          <w:sz w:val="20"/>
        </w:rPr>
      </w:pPr>
      <w:r>
        <w:rPr>
          <w:rFonts w:ascii="Times New Roman" w:hAnsi="Times New Roman"/>
          <w:sz w:val="20"/>
        </w:rPr>
        <w:t xml:space="preserve">The exhibits listed below are filed as part of this registration statement.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24"/>
        <w:gridCol w:w="311"/>
        <w:gridCol w:w="3894"/>
        <w:gridCol w:w="198"/>
        <w:gridCol w:w="593"/>
        <w:gridCol w:w="198"/>
        <w:gridCol w:w="926"/>
        <w:gridCol w:w="198"/>
        <w:gridCol w:w="836"/>
        <w:gridCol w:w="198"/>
        <w:gridCol w:w="829"/>
        <w:gridCol w:w="197"/>
        <w:gridCol w:w="516"/>
        <w:gridCol w:w="516"/>
        <w:gridCol w:w="71"/>
      </w:tblGrid>
      <w:tr>
        <w:trPr/>
        <w:tc>
          <w:tcPr>
            <w:tcW w:w="724"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3894" w:type="dxa"/>
            <w:tcBorders/>
            <w:vAlign w:val="center"/>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r>
      <w:tr>
        <w:trPr/>
        <w:tc>
          <w:tcPr>
            <w:tcW w:w="72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w:t>
              <w:br/>
              <w:t>No.</w:t>
            </w:r>
          </w:p>
        </w:tc>
        <w:tc>
          <w:tcPr>
            <w:tcW w:w="311" w:type="dxa"/>
            <w:tcBorders/>
            <w:vAlign w:val="bottom"/>
          </w:tcPr>
          <w:p>
            <w:pPr>
              <w:pStyle w:val="TableContents"/>
              <w:bidi w:val="0"/>
              <w:spacing w:before="0" w:after="283"/>
              <w:jc w:val="left"/>
              <w:rPr/>
            </w:pPr>
            <w:r>
              <w:rPr/>
              <w:t>  </w:t>
            </w:r>
          </w:p>
        </w:tc>
        <w:tc>
          <w:tcPr>
            <w:tcW w:w="389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c>
          <w:tcPr>
            <w:tcW w:w="198" w:type="dxa"/>
            <w:tcBorders/>
            <w:vAlign w:val="bottom"/>
          </w:tcPr>
          <w:p>
            <w:pPr>
              <w:pStyle w:val="TableContents"/>
              <w:bidi w:val="0"/>
              <w:spacing w:before="0" w:after="283"/>
              <w:jc w:val="left"/>
              <w:rPr/>
            </w:pPr>
            <w:r>
              <w:rPr/>
              <w:t>  </w:t>
            </w:r>
          </w:p>
        </w:tc>
        <w:tc>
          <w:tcPr>
            <w:tcW w:w="593" w:type="dxa"/>
            <w:tcBorders>
              <w:bottom w:val="single" w:sz="8" w:space="0" w:color="000000"/>
            </w:tcBorders>
            <w:tcMar>
              <w:bottom w:w="28" w:type="dxa"/>
            </w:tcMar>
            <w:vAlign w:val="bottom"/>
          </w:tcPr>
          <w:p>
            <w:pPr>
              <w:pStyle w:val="TableContents"/>
              <w:bidi w:val="0"/>
              <w:spacing w:before="0" w:after="283"/>
              <w:jc w:val="center"/>
              <w:rPr>
                <w:b/>
              </w:rPr>
            </w:pPr>
            <w:r>
              <w:rPr>
                <w:b/>
              </w:rPr>
              <w:t>Form</w:t>
            </w:r>
          </w:p>
        </w:tc>
        <w:tc>
          <w:tcPr>
            <w:tcW w:w="198" w:type="dxa"/>
            <w:tcBorders/>
            <w:vAlign w:val="bottom"/>
          </w:tcPr>
          <w:p>
            <w:pPr>
              <w:pStyle w:val="TableContents"/>
              <w:bidi w:val="0"/>
              <w:spacing w:before="0" w:after="283"/>
              <w:jc w:val="left"/>
              <w:rPr/>
            </w:pPr>
            <w:r>
              <w:rPr/>
              <w:t>  </w:t>
            </w:r>
          </w:p>
        </w:tc>
        <w:tc>
          <w:tcPr>
            <w:tcW w:w="926" w:type="dxa"/>
            <w:tcBorders>
              <w:bottom w:val="single" w:sz="8" w:space="0" w:color="000000"/>
            </w:tcBorders>
            <w:tcMar>
              <w:bottom w:w="28" w:type="dxa"/>
            </w:tcMar>
            <w:vAlign w:val="bottom"/>
          </w:tcPr>
          <w:p>
            <w:pPr>
              <w:pStyle w:val="TableContents"/>
              <w:bidi w:val="0"/>
              <w:spacing w:before="0" w:after="283"/>
              <w:jc w:val="center"/>
              <w:rPr>
                <w:b/>
              </w:rPr>
            </w:pPr>
            <w:r>
              <w:rPr>
                <w:b/>
              </w:rPr>
              <w:t>File No.</w:t>
            </w:r>
          </w:p>
        </w:tc>
        <w:tc>
          <w:tcPr>
            <w:tcW w:w="198" w:type="dxa"/>
            <w:tcBorders/>
            <w:vAlign w:val="bottom"/>
          </w:tcPr>
          <w:p>
            <w:pPr>
              <w:pStyle w:val="TableContents"/>
              <w:bidi w:val="0"/>
              <w:spacing w:before="0" w:after="283"/>
              <w:jc w:val="left"/>
              <w:rPr/>
            </w:pPr>
            <w:r>
              <w:rPr/>
              <w:t>  </w:t>
            </w:r>
          </w:p>
        </w:tc>
        <w:tc>
          <w:tcPr>
            <w:tcW w:w="836" w:type="dxa"/>
            <w:tcBorders>
              <w:bottom w:val="single" w:sz="8" w:space="0" w:color="000000"/>
            </w:tcBorders>
            <w:tcMar>
              <w:bottom w:w="28" w:type="dxa"/>
            </w:tcMar>
            <w:vAlign w:val="bottom"/>
          </w:tcPr>
          <w:p>
            <w:pPr>
              <w:pStyle w:val="TableContents"/>
              <w:bidi w:val="0"/>
              <w:spacing w:before="0" w:after="283"/>
              <w:jc w:val="center"/>
              <w:rPr>
                <w:b/>
              </w:rPr>
            </w:pPr>
            <w:r>
              <w:rPr>
                <w:b/>
              </w:rPr>
              <w:t>Exhibit</w:t>
            </w:r>
          </w:p>
        </w:tc>
        <w:tc>
          <w:tcPr>
            <w:tcW w:w="198" w:type="dxa"/>
            <w:tcBorders/>
            <w:vAlign w:val="bottom"/>
          </w:tcPr>
          <w:p>
            <w:pPr>
              <w:pStyle w:val="TableContents"/>
              <w:bidi w:val="0"/>
              <w:spacing w:before="0" w:after="283"/>
              <w:jc w:val="left"/>
              <w:rPr/>
            </w:pPr>
            <w:r>
              <w:rPr/>
              <w:t>  </w:t>
            </w:r>
          </w:p>
        </w:tc>
        <w:tc>
          <w:tcPr>
            <w:tcW w:w="829" w:type="dxa"/>
            <w:tcBorders>
              <w:bottom w:val="single" w:sz="8" w:space="0" w:color="000000"/>
            </w:tcBorders>
            <w:tcMar>
              <w:bottom w:w="28" w:type="dxa"/>
            </w:tcMar>
            <w:vAlign w:val="bottom"/>
          </w:tcPr>
          <w:p>
            <w:pPr>
              <w:pStyle w:val="TableContents"/>
              <w:bidi w:val="0"/>
              <w:spacing w:before="0" w:after="283"/>
              <w:jc w:val="center"/>
              <w:rPr>
                <w:b/>
              </w:rPr>
            </w:pPr>
            <w:r>
              <w:rPr>
                <w:b/>
              </w:rPr>
              <w:t>Filing Date</w:t>
            </w:r>
          </w:p>
        </w:tc>
        <w:tc>
          <w:tcPr>
            <w:tcW w:w="197" w:type="dxa"/>
            <w:tcBorders/>
            <w:vAlign w:val="bottom"/>
          </w:tcPr>
          <w:p>
            <w:pPr>
              <w:pStyle w:val="TableContents"/>
              <w:bidi w:val="0"/>
              <w:spacing w:before="0" w:after="283"/>
              <w:jc w:val="left"/>
              <w:rPr/>
            </w:pPr>
            <w:r>
              <w:rPr/>
              <w:t>  </w:t>
            </w:r>
          </w:p>
        </w:tc>
        <w:tc>
          <w:tcPr>
            <w:tcW w:w="10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Filed</w:t>
              <w:br/>
              <w:t>Herewith</w:t>
            </w:r>
          </w:p>
        </w:tc>
        <w:tc>
          <w:tcPr>
            <w:tcW w:w="71" w:type="dxa"/>
            <w:tcBorders/>
            <w:vAlign w:val="bottom"/>
          </w:tcPr>
          <w:p>
            <w:pPr>
              <w:pStyle w:val="TableContents"/>
              <w:bidi w:val="0"/>
              <w:spacing w:before="0" w:after="283"/>
              <w:jc w:val="left"/>
              <w:rPr/>
            </w:pPr>
            <w:r>
              <w:rPr/>
              <w:t> </w:t>
            </w:r>
          </w:p>
        </w:tc>
      </w:tr>
      <w:tr>
        <w:trPr>
          <w:trHeight w:val="120" w:hRule="atLeast"/>
        </w:trPr>
        <w:tc>
          <w:tcPr>
            <w:tcW w:w="724" w:type="dxa"/>
            <w:tcBorders/>
            <w:vAlign w:val="center"/>
          </w:tcPr>
          <w:p>
            <w:pPr>
              <w:pStyle w:val="TableContents"/>
              <w:bidi w:val="0"/>
              <w:spacing w:before="0" w:after="283"/>
              <w:jc w:val="left"/>
              <w:rPr>
                <w:sz w:val="4"/>
                <w:szCs w:val="4"/>
              </w:rPr>
            </w:pPr>
            <w:r>
              <w:rPr>
                <w:sz w:val="4"/>
                <w:szCs w:val="4"/>
              </w:rPr>
            </w:r>
          </w:p>
        </w:tc>
        <w:tc>
          <w:tcPr>
            <w:tcW w:w="4205" w:type="dxa"/>
            <w:gridSpan w:val="2"/>
            <w:tcBorders/>
            <w:vAlign w:val="center"/>
          </w:tcPr>
          <w:p>
            <w:pPr>
              <w:pStyle w:val="TableContents"/>
              <w:bidi w:val="0"/>
              <w:spacing w:before="0" w:after="283"/>
              <w:jc w:val="left"/>
              <w:rPr>
                <w:sz w:val="4"/>
                <w:szCs w:val="4"/>
              </w:rPr>
            </w:pPr>
            <w:r>
              <w:rPr>
                <w:sz w:val="4"/>
                <w:szCs w:val="4"/>
              </w:rPr>
            </w:r>
          </w:p>
        </w:tc>
        <w:tc>
          <w:tcPr>
            <w:tcW w:w="791" w:type="dxa"/>
            <w:gridSpan w:val="2"/>
            <w:tcBorders/>
            <w:vAlign w:val="center"/>
          </w:tcPr>
          <w:p>
            <w:pPr>
              <w:pStyle w:val="TableContents"/>
              <w:bidi w:val="0"/>
              <w:spacing w:before="0" w:after="283"/>
              <w:jc w:val="left"/>
              <w:rPr>
                <w:sz w:val="4"/>
                <w:szCs w:val="4"/>
              </w:rPr>
            </w:pPr>
            <w:r>
              <w:rPr>
                <w:sz w:val="4"/>
                <w:szCs w:val="4"/>
              </w:rPr>
            </w:r>
          </w:p>
        </w:tc>
        <w:tc>
          <w:tcPr>
            <w:tcW w:w="1124" w:type="dxa"/>
            <w:gridSpan w:val="2"/>
            <w:tcBorders/>
            <w:vAlign w:val="center"/>
          </w:tcPr>
          <w:p>
            <w:pPr>
              <w:pStyle w:val="TableContents"/>
              <w:bidi w:val="0"/>
              <w:spacing w:before="0" w:after="283"/>
              <w:jc w:val="left"/>
              <w:rPr>
                <w:sz w:val="4"/>
                <w:szCs w:val="4"/>
              </w:rPr>
            </w:pPr>
            <w:r>
              <w:rPr>
                <w:sz w:val="4"/>
                <w:szCs w:val="4"/>
              </w:rPr>
            </w:r>
          </w:p>
        </w:tc>
        <w:tc>
          <w:tcPr>
            <w:tcW w:w="1034" w:type="dxa"/>
            <w:gridSpan w:val="2"/>
            <w:tcBorders/>
            <w:vAlign w:val="center"/>
          </w:tcPr>
          <w:p>
            <w:pPr>
              <w:pStyle w:val="TableContents"/>
              <w:bidi w:val="0"/>
              <w:spacing w:before="0" w:after="283"/>
              <w:jc w:val="left"/>
              <w:rPr>
                <w:sz w:val="4"/>
                <w:szCs w:val="4"/>
              </w:rPr>
            </w:pPr>
            <w:r>
              <w:rPr>
                <w:sz w:val="4"/>
                <w:szCs w:val="4"/>
              </w:rPr>
            </w:r>
          </w:p>
        </w:tc>
        <w:tc>
          <w:tcPr>
            <w:tcW w:w="1027" w:type="dxa"/>
            <w:gridSpan w:val="2"/>
            <w:tcBorders/>
            <w:vAlign w:val="center"/>
          </w:tcPr>
          <w:p>
            <w:pPr>
              <w:pStyle w:val="TableContents"/>
              <w:bidi w:val="0"/>
              <w:spacing w:before="0" w:after="283"/>
              <w:jc w:val="left"/>
              <w:rPr>
                <w:sz w:val="4"/>
                <w:szCs w:val="4"/>
              </w:rPr>
            </w:pPr>
            <w:r>
              <w:rPr>
                <w:sz w:val="4"/>
                <w:szCs w:val="4"/>
              </w:rPr>
            </w:r>
          </w:p>
        </w:tc>
        <w:tc>
          <w:tcPr>
            <w:tcW w:w="1300" w:type="dxa"/>
            <w:gridSpan w:val="4"/>
            <w:tcBorders/>
            <w:vAlign w:val="center"/>
          </w:tcPr>
          <w:p>
            <w:pPr>
              <w:pStyle w:val="TableContents"/>
              <w:bidi w:val="0"/>
              <w:spacing w:before="0" w:after="283"/>
              <w:jc w:val="left"/>
              <w:rPr>
                <w:sz w:val="4"/>
                <w:szCs w:val="4"/>
              </w:rPr>
            </w:pPr>
            <w:r>
              <w:rPr>
                <w:sz w:val="4"/>
                <w:szCs w:val="4"/>
              </w:rPr>
            </w:r>
          </w:p>
        </w:tc>
      </w:tr>
      <w:tr>
        <w:trPr/>
        <w:tc>
          <w:tcPr>
            <w:tcW w:w="724" w:type="dxa"/>
            <w:tcBorders/>
          </w:tcPr>
          <w:p>
            <w:pPr>
              <w:pStyle w:val="TableContents"/>
              <w:bidi w:val="0"/>
              <w:spacing w:before="0" w:after="283"/>
              <w:jc w:val="left"/>
              <w:rPr/>
            </w:pPr>
            <w:r>
              <w:rPr/>
              <w:t>  </w:t>
            </w:r>
            <w:r>
              <w:rPr/>
              <w:t>3.1</w:t>
            </w:r>
          </w:p>
        </w:tc>
        <w:tc>
          <w:tcPr>
            <w:tcW w:w="311" w:type="dxa"/>
            <w:tcBorders/>
            <w:vAlign w:val="bottom"/>
          </w:tcPr>
          <w:p>
            <w:pPr>
              <w:pStyle w:val="TableContents"/>
              <w:bidi w:val="0"/>
              <w:spacing w:before="0" w:after="283"/>
              <w:jc w:val="left"/>
              <w:rPr/>
            </w:pPr>
            <w:r>
              <w:rPr/>
              <w:t>  </w:t>
            </w:r>
          </w:p>
        </w:tc>
        <w:tc>
          <w:tcPr>
            <w:tcW w:w="3894" w:type="dxa"/>
            <w:tcBorders/>
          </w:tcPr>
          <w:p>
            <w:pPr>
              <w:pStyle w:val="TableContents"/>
              <w:bidi w:val="0"/>
              <w:spacing w:before="0" w:after="283"/>
              <w:jc w:val="left"/>
              <w:rPr/>
            </w:pPr>
            <w:hyperlink r:id="rId16">
              <w:r>
                <w:rPr>
                  <w:rStyle w:val="InternetLink"/>
                </w:rPr>
                <w:t xml:space="preserve">Amended and Restated Certificate of Incorporation of the Registrant </w:t>
              </w:r>
            </w:hyperlink>
          </w:p>
        </w:tc>
        <w:tc>
          <w:tcPr>
            <w:tcW w:w="198" w:type="dxa"/>
            <w:tcBorders/>
            <w:vAlign w:val="bottom"/>
          </w:tcPr>
          <w:p>
            <w:pPr>
              <w:pStyle w:val="TableContents"/>
              <w:bidi w:val="0"/>
              <w:spacing w:before="0" w:after="283"/>
              <w:jc w:val="left"/>
              <w:rPr/>
            </w:pPr>
            <w:r>
              <w:rPr/>
              <w:t>  </w:t>
            </w:r>
          </w:p>
        </w:tc>
        <w:tc>
          <w:tcPr>
            <w:tcW w:w="593" w:type="dxa"/>
            <w:tcBorders/>
          </w:tcPr>
          <w:p>
            <w:pPr>
              <w:pStyle w:val="TableContents"/>
              <w:bidi w:val="0"/>
              <w:spacing w:before="0" w:after="283"/>
              <w:jc w:val="center"/>
              <w:rPr/>
            </w:pPr>
            <w:r>
              <w:rPr/>
              <w:t>8-K</w:t>
            </w:r>
          </w:p>
        </w:tc>
        <w:tc>
          <w:tcPr>
            <w:tcW w:w="198" w:type="dxa"/>
            <w:tcBorders/>
            <w:vAlign w:val="bottom"/>
          </w:tcPr>
          <w:p>
            <w:pPr>
              <w:pStyle w:val="TableContents"/>
              <w:bidi w:val="0"/>
              <w:spacing w:before="0" w:after="283"/>
              <w:jc w:val="left"/>
              <w:rPr/>
            </w:pPr>
            <w:r>
              <w:rPr/>
              <w:t>  </w:t>
            </w:r>
          </w:p>
        </w:tc>
        <w:tc>
          <w:tcPr>
            <w:tcW w:w="926" w:type="dxa"/>
            <w:tcBorders/>
          </w:tcPr>
          <w:p>
            <w:pPr>
              <w:pStyle w:val="TableContents"/>
              <w:bidi w:val="0"/>
              <w:spacing w:before="0" w:after="283"/>
              <w:jc w:val="center"/>
              <w:rPr/>
            </w:pPr>
            <w:r>
              <w:rPr/>
              <w:t>001-42914</w:t>
            </w:r>
          </w:p>
        </w:tc>
        <w:tc>
          <w:tcPr>
            <w:tcW w:w="198" w:type="dxa"/>
            <w:tcBorders/>
            <w:vAlign w:val="bottom"/>
          </w:tcPr>
          <w:p>
            <w:pPr>
              <w:pStyle w:val="TableContents"/>
              <w:bidi w:val="0"/>
              <w:spacing w:before="0" w:after="283"/>
              <w:jc w:val="left"/>
              <w:rPr/>
            </w:pPr>
            <w:r>
              <w:rPr/>
              <w:t>  </w:t>
            </w:r>
          </w:p>
        </w:tc>
        <w:tc>
          <w:tcPr>
            <w:tcW w:w="836" w:type="dxa"/>
            <w:tcBorders/>
          </w:tcPr>
          <w:p>
            <w:pPr>
              <w:pStyle w:val="TableContents"/>
              <w:bidi w:val="0"/>
              <w:spacing w:before="0" w:after="283"/>
              <w:jc w:val="center"/>
              <w:rPr/>
            </w:pPr>
            <w:r>
              <w:rPr/>
              <w:t>3.1</w:t>
            </w:r>
          </w:p>
        </w:tc>
        <w:tc>
          <w:tcPr>
            <w:tcW w:w="198" w:type="dxa"/>
            <w:tcBorders/>
            <w:vAlign w:val="bottom"/>
          </w:tcPr>
          <w:p>
            <w:pPr>
              <w:pStyle w:val="TableContents"/>
              <w:bidi w:val="0"/>
              <w:spacing w:before="0" w:after="283"/>
              <w:jc w:val="left"/>
              <w:rPr/>
            </w:pPr>
            <w:r>
              <w:rPr/>
              <w:t>  </w:t>
            </w:r>
          </w:p>
        </w:tc>
        <w:tc>
          <w:tcPr>
            <w:tcW w:w="829" w:type="dxa"/>
            <w:tcBorders/>
          </w:tcPr>
          <w:p>
            <w:pPr>
              <w:pStyle w:val="TableContents"/>
              <w:bidi w:val="0"/>
              <w:spacing w:before="0" w:after="283"/>
              <w:jc w:val="center"/>
              <w:rPr/>
            </w:pPr>
            <w:r>
              <w:rPr/>
              <w:t>10/29/2025</w:t>
            </w:r>
          </w:p>
        </w:tc>
        <w:tc>
          <w:tcPr>
            <w:tcW w:w="197"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left"/>
              <w:rPr>
                <w:sz w:val="4"/>
                <w:szCs w:val="4"/>
              </w:rPr>
            </w:pPr>
            <w:r>
              <w:rPr>
                <w:sz w:val="4"/>
                <w:szCs w:val="4"/>
              </w:rPr>
            </w:r>
          </w:p>
        </w:tc>
        <w:tc>
          <w:tcPr>
            <w:tcW w:w="516"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724" w:type="dxa"/>
            <w:tcBorders/>
            <w:vAlign w:val="center"/>
          </w:tcPr>
          <w:p>
            <w:pPr>
              <w:pStyle w:val="TableContents"/>
              <w:bidi w:val="0"/>
              <w:spacing w:before="0" w:after="283"/>
              <w:jc w:val="left"/>
              <w:rPr>
                <w:sz w:val="4"/>
                <w:szCs w:val="4"/>
              </w:rPr>
            </w:pPr>
            <w:r>
              <w:rPr>
                <w:sz w:val="4"/>
                <w:szCs w:val="4"/>
              </w:rPr>
            </w:r>
          </w:p>
        </w:tc>
        <w:tc>
          <w:tcPr>
            <w:tcW w:w="4205" w:type="dxa"/>
            <w:gridSpan w:val="2"/>
            <w:tcBorders/>
            <w:vAlign w:val="center"/>
          </w:tcPr>
          <w:p>
            <w:pPr>
              <w:pStyle w:val="TableContents"/>
              <w:bidi w:val="0"/>
              <w:spacing w:before="0" w:after="283"/>
              <w:jc w:val="left"/>
              <w:rPr>
                <w:sz w:val="4"/>
                <w:szCs w:val="4"/>
              </w:rPr>
            </w:pPr>
            <w:r>
              <w:rPr>
                <w:sz w:val="4"/>
                <w:szCs w:val="4"/>
              </w:rPr>
            </w:r>
          </w:p>
        </w:tc>
        <w:tc>
          <w:tcPr>
            <w:tcW w:w="791" w:type="dxa"/>
            <w:gridSpan w:val="2"/>
            <w:tcBorders/>
            <w:vAlign w:val="center"/>
          </w:tcPr>
          <w:p>
            <w:pPr>
              <w:pStyle w:val="TableContents"/>
              <w:bidi w:val="0"/>
              <w:spacing w:before="0" w:after="283"/>
              <w:jc w:val="left"/>
              <w:rPr>
                <w:sz w:val="4"/>
                <w:szCs w:val="4"/>
              </w:rPr>
            </w:pPr>
            <w:r>
              <w:rPr>
                <w:sz w:val="4"/>
                <w:szCs w:val="4"/>
              </w:rPr>
            </w:r>
          </w:p>
        </w:tc>
        <w:tc>
          <w:tcPr>
            <w:tcW w:w="1124" w:type="dxa"/>
            <w:gridSpan w:val="2"/>
            <w:tcBorders/>
            <w:vAlign w:val="center"/>
          </w:tcPr>
          <w:p>
            <w:pPr>
              <w:pStyle w:val="TableContents"/>
              <w:bidi w:val="0"/>
              <w:spacing w:before="0" w:after="283"/>
              <w:jc w:val="left"/>
              <w:rPr>
                <w:sz w:val="4"/>
                <w:szCs w:val="4"/>
              </w:rPr>
            </w:pPr>
            <w:r>
              <w:rPr>
                <w:sz w:val="4"/>
                <w:szCs w:val="4"/>
              </w:rPr>
            </w:r>
          </w:p>
        </w:tc>
        <w:tc>
          <w:tcPr>
            <w:tcW w:w="1034" w:type="dxa"/>
            <w:gridSpan w:val="2"/>
            <w:tcBorders/>
            <w:vAlign w:val="center"/>
          </w:tcPr>
          <w:p>
            <w:pPr>
              <w:pStyle w:val="TableContents"/>
              <w:bidi w:val="0"/>
              <w:spacing w:before="0" w:after="283"/>
              <w:jc w:val="left"/>
              <w:rPr>
                <w:sz w:val="4"/>
                <w:szCs w:val="4"/>
              </w:rPr>
            </w:pPr>
            <w:r>
              <w:rPr>
                <w:sz w:val="4"/>
                <w:szCs w:val="4"/>
              </w:rPr>
            </w:r>
          </w:p>
        </w:tc>
        <w:tc>
          <w:tcPr>
            <w:tcW w:w="1027" w:type="dxa"/>
            <w:gridSpan w:val="2"/>
            <w:tcBorders/>
            <w:vAlign w:val="center"/>
          </w:tcPr>
          <w:p>
            <w:pPr>
              <w:pStyle w:val="TableContents"/>
              <w:bidi w:val="0"/>
              <w:spacing w:before="0" w:after="283"/>
              <w:jc w:val="left"/>
              <w:rPr>
                <w:sz w:val="4"/>
                <w:szCs w:val="4"/>
              </w:rPr>
            </w:pPr>
            <w:r>
              <w:rPr>
                <w:sz w:val="4"/>
                <w:szCs w:val="4"/>
              </w:rPr>
            </w:r>
          </w:p>
        </w:tc>
        <w:tc>
          <w:tcPr>
            <w:tcW w:w="1300" w:type="dxa"/>
            <w:gridSpan w:val="4"/>
            <w:tcBorders/>
            <w:vAlign w:val="center"/>
          </w:tcPr>
          <w:p>
            <w:pPr>
              <w:pStyle w:val="TableContents"/>
              <w:bidi w:val="0"/>
              <w:spacing w:before="0" w:after="283"/>
              <w:jc w:val="left"/>
              <w:rPr>
                <w:sz w:val="4"/>
                <w:szCs w:val="4"/>
              </w:rPr>
            </w:pPr>
            <w:r>
              <w:rPr>
                <w:sz w:val="4"/>
                <w:szCs w:val="4"/>
              </w:rPr>
            </w:r>
          </w:p>
        </w:tc>
      </w:tr>
      <w:tr>
        <w:trPr/>
        <w:tc>
          <w:tcPr>
            <w:tcW w:w="724" w:type="dxa"/>
            <w:tcBorders/>
          </w:tcPr>
          <w:p>
            <w:pPr>
              <w:pStyle w:val="TableContents"/>
              <w:bidi w:val="0"/>
              <w:spacing w:before="0" w:after="283"/>
              <w:jc w:val="left"/>
              <w:rPr/>
            </w:pPr>
            <w:r>
              <w:rPr/>
              <w:t>  </w:t>
            </w:r>
            <w:r>
              <w:rPr/>
              <w:t>3.2</w:t>
            </w:r>
          </w:p>
        </w:tc>
        <w:tc>
          <w:tcPr>
            <w:tcW w:w="311" w:type="dxa"/>
            <w:tcBorders/>
            <w:vAlign w:val="bottom"/>
          </w:tcPr>
          <w:p>
            <w:pPr>
              <w:pStyle w:val="TableContents"/>
              <w:bidi w:val="0"/>
              <w:spacing w:before="0" w:after="283"/>
              <w:jc w:val="left"/>
              <w:rPr/>
            </w:pPr>
            <w:r>
              <w:rPr/>
              <w:t>  </w:t>
            </w:r>
          </w:p>
        </w:tc>
        <w:tc>
          <w:tcPr>
            <w:tcW w:w="3894" w:type="dxa"/>
            <w:tcBorders/>
          </w:tcPr>
          <w:p>
            <w:pPr>
              <w:pStyle w:val="TableContents"/>
              <w:bidi w:val="0"/>
              <w:spacing w:before="0" w:after="283"/>
              <w:jc w:val="left"/>
              <w:rPr/>
            </w:pPr>
            <w:hyperlink r:id="rId17">
              <w:r>
                <w:rPr>
                  <w:rStyle w:val="InternetLink"/>
                </w:rPr>
                <w:t xml:space="preserve">Amended and Restated Bylaws of the Registrant </w:t>
              </w:r>
            </w:hyperlink>
          </w:p>
        </w:tc>
        <w:tc>
          <w:tcPr>
            <w:tcW w:w="198" w:type="dxa"/>
            <w:tcBorders/>
            <w:vAlign w:val="bottom"/>
          </w:tcPr>
          <w:p>
            <w:pPr>
              <w:pStyle w:val="TableContents"/>
              <w:bidi w:val="0"/>
              <w:spacing w:before="0" w:after="283"/>
              <w:jc w:val="left"/>
              <w:rPr/>
            </w:pPr>
            <w:r>
              <w:rPr/>
              <w:t>  </w:t>
            </w:r>
          </w:p>
        </w:tc>
        <w:tc>
          <w:tcPr>
            <w:tcW w:w="593" w:type="dxa"/>
            <w:tcBorders/>
          </w:tcPr>
          <w:p>
            <w:pPr>
              <w:pStyle w:val="TableContents"/>
              <w:bidi w:val="0"/>
              <w:spacing w:before="0" w:after="283"/>
              <w:jc w:val="center"/>
              <w:rPr/>
            </w:pPr>
            <w:r>
              <w:rPr/>
              <w:t>8-K</w:t>
            </w:r>
          </w:p>
        </w:tc>
        <w:tc>
          <w:tcPr>
            <w:tcW w:w="198" w:type="dxa"/>
            <w:tcBorders/>
            <w:vAlign w:val="bottom"/>
          </w:tcPr>
          <w:p>
            <w:pPr>
              <w:pStyle w:val="TableContents"/>
              <w:bidi w:val="0"/>
              <w:spacing w:before="0" w:after="283"/>
              <w:jc w:val="left"/>
              <w:rPr/>
            </w:pPr>
            <w:r>
              <w:rPr/>
              <w:t>  </w:t>
            </w:r>
          </w:p>
        </w:tc>
        <w:tc>
          <w:tcPr>
            <w:tcW w:w="926" w:type="dxa"/>
            <w:tcBorders/>
          </w:tcPr>
          <w:p>
            <w:pPr>
              <w:pStyle w:val="TableContents"/>
              <w:bidi w:val="0"/>
              <w:spacing w:before="0" w:after="283"/>
              <w:jc w:val="center"/>
              <w:rPr/>
            </w:pPr>
            <w:r>
              <w:rPr/>
              <w:t>001-42914</w:t>
            </w:r>
          </w:p>
        </w:tc>
        <w:tc>
          <w:tcPr>
            <w:tcW w:w="198" w:type="dxa"/>
            <w:tcBorders/>
            <w:vAlign w:val="bottom"/>
          </w:tcPr>
          <w:p>
            <w:pPr>
              <w:pStyle w:val="TableContents"/>
              <w:bidi w:val="0"/>
              <w:spacing w:before="0" w:after="283"/>
              <w:jc w:val="left"/>
              <w:rPr/>
            </w:pPr>
            <w:r>
              <w:rPr/>
              <w:t>  </w:t>
            </w:r>
          </w:p>
        </w:tc>
        <w:tc>
          <w:tcPr>
            <w:tcW w:w="836" w:type="dxa"/>
            <w:tcBorders/>
          </w:tcPr>
          <w:p>
            <w:pPr>
              <w:pStyle w:val="TableContents"/>
              <w:bidi w:val="0"/>
              <w:spacing w:before="0" w:after="283"/>
              <w:jc w:val="center"/>
              <w:rPr/>
            </w:pPr>
            <w:r>
              <w:rPr/>
              <w:t>3.2</w:t>
            </w:r>
          </w:p>
        </w:tc>
        <w:tc>
          <w:tcPr>
            <w:tcW w:w="198" w:type="dxa"/>
            <w:tcBorders/>
            <w:vAlign w:val="bottom"/>
          </w:tcPr>
          <w:p>
            <w:pPr>
              <w:pStyle w:val="TableContents"/>
              <w:bidi w:val="0"/>
              <w:spacing w:before="0" w:after="283"/>
              <w:jc w:val="left"/>
              <w:rPr/>
            </w:pPr>
            <w:r>
              <w:rPr/>
              <w:t>  </w:t>
            </w:r>
          </w:p>
        </w:tc>
        <w:tc>
          <w:tcPr>
            <w:tcW w:w="829" w:type="dxa"/>
            <w:tcBorders/>
          </w:tcPr>
          <w:p>
            <w:pPr>
              <w:pStyle w:val="TableContents"/>
              <w:bidi w:val="0"/>
              <w:spacing w:before="0" w:after="283"/>
              <w:jc w:val="center"/>
              <w:rPr/>
            </w:pPr>
            <w:r>
              <w:rPr/>
              <w:t>10/29/2025</w:t>
            </w:r>
          </w:p>
        </w:tc>
        <w:tc>
          <w:tcPr>
            <w:tcW w:w="197"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left"/>
              <w:rPr>
                <w:sz w:val="4"/>
                <w:szCs w:val="4"/>
              </w:rPr>
            </w:pPr>
            <w:r>
              <w:rPr>
                <w:sz w:val="4"/>
                <w:szCs w:val="4"/>
              </w:rPr>
            </w:r>
          </w:p>
        </w:tc>
        <w:tc>
          <w:tcPr>
            <w:tcW w:w="516"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724" w:type="dxa"/>
            <w:tcBorders/>
            <w:vAlign w:val="center"/>
          </w:tcPr>
          <w:p>
            <w:pPr>
              <w:pStyle w:val="TableContents"/>
              <w:bidi w:val="0"/>
              <w:spacing w:before="0" w:after="283"/>
              <w:jc w:val="left"/>
              <w:rPr>
                <w:sz w:val="4"/>
                <w:szCs w:val="4"/>
              </w:rPr>
            </w:pPr>
            <w:r>
              <w:rPr>
                <w:sz w:val="4"/>
                <w:szCs w:val="4"/>
              </w:rPr>
            </w:r>
          </w:p>
        </w:tc>
        <w:tc>
          <w:tcPr>
            <w:tcW w:w="4205" w:type="dxa"/>
            <w:gridSpan w:val="2"/>
            <w:tcBorders/>
            <w:vAlign w:val="center"/>
          </w:tcPr>
          <w:p>
            <w:pPr>
              <w:pStyle w:val="TableContents"/>
              <w:bidi w:val="0"/>
              <w:spacing w:before="0" w:after="283"/>
              <w:jc w:val="left"/>
              <w:rPr>
                <w:sz w:val="4"/>
                <w:szCs w:val="4"/>
              </w:rPr>
            </w:pPr>
            <w:r>
              <w:rPr>
                <w:sz w:val="4"/>
                <w:szCs w:val="4"/>
              </w:rPr>
            </w:r>
          </w:p>
        </w:tc>
        <w:tc>
          <w:tcPr>
            <w:tcW w:w="791" w:type="dxa"/>
            <w:gridSpan w:val="2"/>
            <w:tcBorders/>
            <w:vAlign w:val="center"/>
          </w:tcPr>
          <w:p>
            <w:pPr>
              <w:pStyle w:val="TableContents"/>
              <w:bidi w:val="0"/>
              <w:spacing w:before="0" w:after="283"/>
              <w:jc w:val="left"/>
              <w:rPr>
                <w:sz w:val="4"/>
                <w:szCs w:val="4"/>
              </w:rPr>
            </w:pPr>
            <w:r>
              <w:rPr>
                <w:sz w:val="4"/>
                <w:szCs w:val="4"/>
              </w:rPr>
            </w:r>
          </w:p>
        </w:tc>
        <w:tc>
          <w:tcPr>
            <w:tcW w:w="1124" w:type="dxa"/>
            <w:gridSpan w:val="2"/>
            <w:tcBorders/>
            <w:vAlign w:val="center"/>
          </w:tcPr>
          <w:p>
            <w:pPr>
              <w:pStyle w:val="TableContents"/>
              <w:bidi w:val="0"/>
              <w:spacing w:before="0" w:after="283"/>
              <w:jc w:val="left"/>
              <w:rPr>
                <w:sz w:val="4"/>
                <w:szCs w:val="4"/>
              </w:rPr>
            </w:pPr>
            <w:r>
              <w:rPr>
                <w:sz w:val="4"/>
                <w:szCs w:val="4"/>
              </w:rPr>
            </w:r>
          </w:p>
        </w:tc>
        <w:tc>
          <w:tcPr>
            <w:tcW w:w="1034" w:type="dxa"/>
            <w:gridSpan w:val="2"/>
            <w:tcBorders/>
            <w:vAlign w:val="center"/>
          </w:tcPr>
          <w:p>
            <w:pPr>
              <w:pStyle w:val="TableContents"/>
              <w:bidi w:val="0"/>
              <w:spacing w:before="0" w:after="283"/>
              <w:jc w:val="left"/>
              <w:rPr>
                <w:sz w:val="4"/>
                <w:szCs w:val="4"/>
              </w:rPr>
            </w:pPr>
            <w:r>
              <w:rPr>
                <w:sz w:val="4"/>
                <w:szCs w:val="4"/>
              </w:rPr>
            </w:r>
          </w:p>
        </w:tc>
        <w:tc>
          <w:tcPr>
            <w:tcW w:w="1027" w:type="dxa"/>
            <w:gridSpan w:val="2"/>
            <w:tcBorders/>
            <w:vAlign w:val="center"/>
          </w:tcPr>
          <w:p>
            <w:pPr>
              <w:pStyle w:val="TableContents"/>
              <w:bidi w:val="0"/>
              <w:spacing w:before="0" w:after="283"/>
              <w:jc w:val="left"/>
              <w:rPr>
                <w:sz w:val="4"/>
                <w:szCs w:val="4"/>
              </w:rPr>
            </w:pPr>
            <w:r>
              <w:rPr>
                <w:sz w:val="4"/>
                <w:szCs w:val="4"/>
              </w:rPr>
            </w:r>
          </w:p>
        </w:tc>
        <w:tc>
          <w:tcPr>
            <w:tcW w:w="1300" w:type="dxa"/>
            <w:gridSpan w:val="4"/>
            <w:tcBorders/>
            <w:vAlign w:val="center"/>
          </w:tcPr>
          <w:p>
            <w:pPr>
              <w:pStyle w:val="TableContents"/>
              <w:bidi w:val="0"/>
              <w:spacing w:before="0" w:after="283"/>
              <w:jc w:val="left"/>
              <w:rPr>
                <w:sz w:val="4"/>
                <w:szCs w:val="4"/>
              </w:rPr>
            </w:pPr>
            <w:r>
              <w:rPr>
                <w:sz w:val="4"/>
                <w:szCs w:val="4"/>
              </w:rPr>
            </w:r>
          </w:p>
        </w:tc>
      </w:tr>
      <w:tr>
        <w:trPr/>
        <w:tc>
          <w:tcPr>
            <w:tcW w:w="724" w:type="dxa"/>
            <w:tcBorders/>
          </w:tcPr>
          <w:p>
            <w:pPr>
              <w:pStyle w:val="TableContents"/>
              <w:bidi w:val="0"/>
              <w:spacing w:before="0" w:after="283"/>
              <w:jc w:val="left"/>
              <w:rPr/>
            </w:pPr>
            <w:r>
              <w:rPr/>
              <w:t>  </w:t>
            </w:r>
            <w:r>
              <w:rPr/>
              <w:t>4.1</w:t>
            </w:r>
          </w:p>
        </w:tc>
        <w:tc>
          <w:tcPr>
            <w:tcW w:w="311" w:type="dxa"/>
            <w:tcBorders/>
            <w:vAlign w:val="bottom"/>
          </w:tcPr>
          <w:p>
            <w:pPr>
              <w:pStyle w:val="TableContents"/>
              <w:bidi w:val="0"/>
              <w:spacing w:before="0" w:after="283"/>
              <w:jc w:val="left"/>
              <w:rPr/>
            </w:pPr>
            <w:r>
              <w:rPr/>
              <w:t>  </w:t>
            </w:r>
          </w:p>
        </w:tc>
        <w:tc>
          <w:tcPr>
            <w:tcW w:w="3894" w:type="dxa"/>
            <w:tcBorders/>
          </w:tcPr>
          <w:p>
            <w:pPr>
              <w:pStyle w:val="TableContents"/>
              <w:bidi w:val="0"/>
              <w:spacing w:before="0" w:after="283"/>
              <w:jc w:val="left"/>
              <w:rPr/>
            </w:pPr>
            <w:hyperlink r:id="rId18">
              <w:r>
                <w:rPr>
                  <w:rStyle w:val="InternetLink"/>
                </w:rPr>
                <w:t>Amended and Restated Investors’ Rights Agreement, by and among the Registrant and certain of its stockholders, dated July  18, 2025</w:t>
              </w:r>
            </w:hyperlink>
          </w:p>
        </w:tc>
        <w:tc>
          <w:tcPr>
            <w:tcW w:w="198" w:type="dxa"/>
            <w:tcBorders/>
            <w:vAlign w:val="bottom"/>
          </w:tcPr>
          <w:p>
            <w:pPr>
              <w:pStyle w:val="TableContents"/>
              <w:bidi w:val="0"/>
              <w:spacing w:before="0" w:after="283"/>
              <w:jc w:val="left"/>
              <w:rPr/>
            </w:pPr>
            <w:r>
              <w:rPr/>
              <w:t>  </w:t>
            </w:r>
          </w:p>
        </w:tc>
        <w:tc>
          <w:tcPr>
            <w:tcW w:w="593" w:type="dxa"/>
            <w:tcBorders/>
          </w:tcPr>
          <w:p>
            <w:pPr>
              <w:pStyle w:val="TableContents"/>
              <w:bidi w:val="0"/>
              <w:spacing w:before="0" w:after="283"/>
              <w:jc w:val="center"/>
              <w:rPr/>
            </w:pPr>
            <w:r>
              <w:rPr/>
              <w:t>S-1</w:t>
            </w:r>
          </w:p>
        </w:tc>
        <w:tc>
          <w:tcPr>
            <w:tcW w:w="198" w:type="dxa"/>
            <w:tcBorders/>
            <w:vAlign w:val="bottom"/>
          </w:tcPr>
          <w:p>
            <w:pPr>
              <w:pStyle w:val="TableContents"/>
              <w:bidi w:val="0"/>
              <w:spacing w:before="0" w:after="283"/>
              <w:jc w:val="left"/>
              <w:rPr/>
            </w:pPr>
            <w:r>
              <w:rPr/>
              <w:t>  </w:t>
            </w:r>
          </w:p>
        </w:tc>
        <w:tc>
          <w:tcPr>
            <w:tcW w:w="926" w:type="dxa"/>
            <w:tcBorders/>
          </w:tcPr>
          <w:p>
            <w:pPr>
              <w:pStyle w:val="TableContents"/>
              <w:bidi w:val="0"/>
              <w:spacing w:before="0" w:after="283"/>
              <w:jc w:val="center"/>
              <w:rPr/>
            </w:pPr>
            <w:r>
              <w:rPr/>
              <w:t>333-290400</w:t>
            </w:r>
          </w:p>
        </w:tc>
        <w:tc>
          <w:tcPr>
            <w:tcW w:w="198" w:type="dxa"/>
            <w:tcBorders/>
            <w:vAlign w:val="bottom"/>
          </w:tcPr>
          <w:p>
            <w:pPr>
              <w:pStyle w:val="TableContents"/>
              <w:bidi w:val="0"/>
              <w:spacing w:before="0" w:after="283"/>
              <w:jc w:val="left"/>
              <w:rPr/>
            </w:pPr>
            <w:r>
              <w:rPr/>
              <w:t>  </w:t>
            </w:r>
          </w:p>
        </w:tc>
        <w:tc>
          <w:tcPr>
            <w:tcW w:w="836" w:type="dxa"/>
            <w:tcBorders/>
          </w:tcPr>
          <w:p>
            <w:pPr>
              <w:pStyle w:val="TableContents"/>
              <w:bidi w:val="0"/>
              <w:spacing w:before="0" w:after="283"/>
              <w:jc w:val="center"/>
              <w:rPr/>
            </w:pPr>
            <w:r>
              <w:rPr/>
              <w:t>4.1</w:t>
            </w:r>
          </w:p>
        </w:tc>
        <w:tc>
          <w:tcPr>
            <w:tcW w:w="198" w:type="dxa"/>
            <w:tcBorders/>
            <w:vAlign w:val="bottom"/>
          </w:tcPr>
          <w:p>
            <w:pPr>
              <w:pStyle w:val="TableContents"/>
              <w:bidi w:val="0"/>
              <w:spacing w:before="0" w:after="283"/>
              <w:jc w:val="left"/>
              <w:rPr/>
            </w:pPr>
            <w:r>
              <w:rPr/>
              <w:t>  </w:t>
            </w:r>
          </w:p>
        </w:tc>
        <w:tc>
          <w:tcPr>
            <w:tcW w:w="829" w:type="dxa"/>
            <w:tcBorders/>
          </w:tcPr>
          <w:p>
            <w:pPr>
              <w:pStyle w:val="TableContents"/>
              <w:bidi w:val="0"/>
              <w:spacing w:before="0" w:after="283"/>
              <w:jc w:val="center"/>
              <w:rPr/>
            </w:pPr>
            <w:r>
              <w:rPr/>
              <w:t>9/19/2025</w:t>
            </w:r>
          </w:p>
        </w:tc>
        <w:tc>
          <w:tcPr>
            <w:tcW w:w="197"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left"/>
              <w:rPr>
                <w:sz w:val="4"/>
                <w:szCs w:val="4"/>
              </w:rPr>
            </w:pPr>
            <w:r>
              <w:rPr>
                <w:sz w:val="4"/>
                <w:szCs w:val="4"/>
              </w:rPr>
            </w:r>
          </w:p>
        </w:tc>
        <w:tc>
          <w:tcPr>
            <w:tcW w:w="516"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724" w:type="dxa"/>
            <w:tcBorders/>
            <w:vAlign w:val="center"/>
          </w:tcPr>
          <w:p>
            <w:pPr>
              <w:pStyle w:val="TableContents"/>
              <w:bidi w:val="0"/>
              <w:spacing w:before="0" w:after="283"/>
              <w:jc w:val="left"/>
              <w:rPr>
                <w:sz w:val="4"/>
                <w:szCs w:val="4"/>
              </w:rPr>
            </w:pPr>
            <w:r>
              <w:rPr>
                <w:sz w:val="4"/>
                <w:szCs w:val="4"/>
              </w:rPr>
            </w:r>
          </w:p>
        </w:tc>
        <w:tc>
          <w:tcPr>
            <w:tcW w:w="4205" w:type="dxa"/>
            <w:gridSpan w:val="2"/>
            <w:tcBorders/>
            <w:vAlign w:val="center"/>
          </w:tcPr>
          <w:p>
            <w:pPr>
              <w:pStyle w:val="TableContents"/>
              <w:bidi w:val="0"/>
              <w:spacing w:before="0" w:after="283"/>
              <w:jc w:val="left"/>
              <w:rPr>
                <w:sz w:val="4"/>
                <w:szCs w:val="4"/>
              </w:rPr>
            </w:pPr>
            <w:r>
              <w:rPr>
                <w:sz w:val="4"/>
                <w:szCs w:val="4"/>
              </w:rPr>
            </w:r>
          </w:p>
        </w:tc>
        <w:tc>
          <w:tcPr>
            <w:tcW w:w="791" w:type="dxa"/>
            <w:gridSpan w:val="2"/>
            <w:tcBorders/>
            <w:vAlign w:val="center"/>
          </w:tcPr>
          <w:p>
            <w:pPr>
              <w:pStyle w:val="TableContents"/>
              <w:bidi w:val="0"/>
              <w:spacing w:before="0" w:after="283"/>
              <w:jc w:val="left"/>
              <w:rPr>
                <w:sz w:val="4"/>
                <w:szCs w:val="4"/>
              </w:rPr>
            </w:pPr>
            <w:r>
              <w:rPr>
                <w:sz w:val="4"/>
                <w:szCs w:val="4"/>
              </w:rPr>
            </w:r>
          </w:p>
        </w:tc>
        <w:tc>
          <w:tcPr>
            <w:tcW w:w="1124" w:type="dxa"/>
            <w:gridSpan w:val="2"/>
            <w:tcBorders/>
            <w:vAlign w:val="center"/>
          </w:tcPr>
          <w:p>
            <w:pPr>
              <w:pStyle w:val="TableContents"/>
              <w:bidi w:val="0"/>
              <w:spacing w:before="0" w:after="283"/>
              <w:jc w:val="left"/>
              <w:rPr>
                <w:sz w:val="4"/>
                <w:szCs w:val="4"/>
              </w:rPr>
            </w:pPr>
            <w:r>
              <w:rPr>
                <w:sz w:val="4"/>
                <w:szCs w:val="4"/>
              </w:rPr>
            </w:r>
          </w:p>
        </w:tc>
        <w:tc>
          <w:tcPr>
            <w:tcW w:w="1034" w:type="dxa"/>
            <w:gridSpan w:val="2"/>
            <w:tcBorders/>
            <w:vAlign w:val="center"/>
          </w:tcPr>
          <w:p>
            <w:pPr>
              <w:pStyle w:val="TableContents"/>
              <w:bidi w:val="0"/>
              <w:spacing w:before="0" w:after="283"/>
              <w:jc w:val="left"/>
              <w:rPr>
                <w:sz w:val="4"/>
                <w:szCs w:val="4"/>
              </w:rPr>
            </w:pPr>
            <w:r>
              <w:rPr>
                <w:sz w:val="4"/>
                <w:szCs w:val="4"/>
              </w:rPr>
            </w:r>
          </w:p>
        </w:tc>
        <w:tc>
          <w:tcPr>
            <w:tcW w:w="1027" w:type="dxa"/>
            <w:gridSpan w:val="2"/>
            <w:tcBorders/>
            <w:vAlign w:val="center"/>
          </w:tcPr>
          <w:p>
            <w:pPr>
              <w:pStyle w:val="TableContents"/>
              <w:bidi w:val="0"/>
              <w:spacing w:before="0" w:after="283"/>
              <w:jc w:val="left"/>
              <w:rPr>
                <w:sz w:val="4"/>
                <w:szCs w:val="4"/>
              </w:rPr>
            </w:pPr>
            <w:r>
              <w:rPr>
                <w:sz w:val="4"/>
                <w:szCs w:val="4"/>
              </w:rPr>
            </w:r>
          </w:p>
        </w:tc>
        <w:tc>
          <w:tcPr>
            <w:tcW w:w="1300" w:type="dxa"/>
            <w:gridSpan w:val="4"/>
            <w:tcBorders/>
            <w:vAlign w:val="center"/>
          </w:tcPr>
          <w:p>
            <w:pPr>
              <w:pStyle w:val="TableContents"/>
              <w:bidi w:val="0"/>
              <w:spacing w:before="0" w:after="283"/>
              <w:jc w:val="left"/>
              <w:rPr>
                <w:sz w:val="4"/>
                <w:szCs w:val="4"/>
              </w:rPr>
            </w:pPr>
            <w:r>
              <w:rPr>
                <w:sz w:val="4"/>
                <w:szCs w:val="4"/>
              </w:rPr>
            </w:r>
          </w:p>
        </w:tc>
      </w:tr>
      <w:tr>
        <w:trPr/>
        <w:tc>
          <w:tcPr>
            <w:tcW w:w="724" w:type="dxa"/>
            <w:tcBorders/>
          </w:tcPr>
          <w:p>
            <w:pPr>
              <w:pStyle w:val="TableContents"/>
              <w:bidi w:val="0"/>
              <w:spacing w:before="0" w:after="283"/>
              <w:jc w:val="left"/>
              <w:rPr/>
            </w:pPr>
            <w:r>
              <w:rPr/>
              <w:t>  </w:t>
            </w:r>
            <w:r>
              <w:rPr/>
              <w:t>4.2</w:t>
            </w:r>
          </w:p>
        </w:tc>
        <w:tc>
          <w:tcPr>
            <w:tcW w:w="311" w:type="dxa"/>
            <w:tcBorders/>
            <w:vAlign w:val="bottom"/>
          </w:tcPr>
          <w:p>
            <w:pPr>
              <w:pStyle w:val="TableContents"/>
              <w:bidi w:val="0"/>
              <w:spacing w:before="0" w:after="283"/>
              <w:jc w:val="left"/>
              <w:rPr/>
            </w:pPr>
            <w:r>
              <w:rPr/>
              <w:t>  </w:t>
            </w:r>
          </w:p>
        </w:tc>
        <w:tc>
          <w:tcPr>
            <w:tcW w:w="3894" w:type="dxa"/>
            <w:tcBorders/>
          </w:tcPr>
          <w:p>
            <w:pPr>
              <w:pStyle w:val="TableContents"/>
              <w:bidi w:val="0"/>
              <w:spacing w:before="0" w:after="283"/>
              <w:jc w:val="left"/>
              <w:rPr/>
            </w:pPr>
            <w:hyperlink r:id="rId19">
              <w:r>
                <w:rPr>
                  <w:rStyle w:val="InternetLink"/>
                </w:rPr>
                <w:t xml:space="preserve">Form of Pre-Funded Warrant </w:t>
              </w:r>
            </w:hyperlink>
          </w:p>
        </w:tc>
        <w:tc>
          <w:tcPr>
            <w:tcW w:w="198" w:type="dxa"/>
            <w:tcBorders/>
            <w:vAlign w:val="bottom"/>
          </w:tcPr>
          <w:p>
            <w:pPr>
              <w:pStyle w:val="TableContents"/>
              <w:bidi w:val="0"/>
              <w:spacing w:before="0" w:after="283"/>
              <w:jc w:val="left"/>
              <w:rPr/>
            </w:pPr>
            <w:r>
              <w:rPr/>
              <w:t>  </w:t>
            </w:r>
          </w:p>
        </w:tc>
        <w:tc>
          <w:tcPr>
            <w:tcW w:w="593" w:type="dxa"/>
            <w:tcBorders/>
          </w:tcPr>
          <w:p>
            <w:pPr>
              <w:pStyle w:val="TableContents"/>
              <w:bidi w:val="0"/>
              <w:spacing w:before="0" w:after="283"/>
              <w:jc w:val="center"/>
              <w:rPr/>
            </w:pPr>
            <w:r>
              <w:rPr/>
              <w:t>8-K</w:t>
            </w:r>
          </w:p>
        </w:tc>
        <w:tc>
          <w:tcPr>
            <w:tcW w:w="198" w:type="dxa"/>
            <w:tcBorders/>
            <w:vAlign w:val="bottom"/>
          </w:tcPr>
          <w:p>
            <w:pPr>
              <w:pStyle w:val="TableContents"/>
              <w:bidi w:val="0"/>
              <w:spacing w:before="0" w:after="283"/>
              <w:jc w:val="left"/>
              <w:rPr/>
            </w:pPr>
            <w:r>
              <w:rPr/>
              <w:t>  </w:t>
            </w:r>
          </w:p>
        </w:tc>
        <w:tc>
          <w:tcPr>
            <w:tcW w:w="926" w:type="dxa"/>
            <w:tcBorders/>
          </w:tcPr>
          <w:p>
            <w:pPr>
              <w:pStyle w:val="TableContents"/>
              <w:bidi w:val="0"/>
              <w:spacing w:before="0" w:after="283"/>
              <w:jc w:val="center"/>
              <w:rPr/>
            </w:pPr>
            <w:r>
              <w:rPr/>
              <w:t>001-42914</w:t>
            </w:r>
          </w:p>
        </w:tc>
        <w:tc>
          <w:tcPr>
            <w:tcW w:w="198" w:type="dxa"/>
            <w:tcBorders/>
            <w:vAlign w:val="bottom"/>
          </w:tcPr>
          <w:p>
            <w:pPr>
              <w:pStyle w:val="TableContents"/>
              <w:bidi w:val="0"/>
              <w:spacing w:before="0" w:after="283"/>
              <w:jc w:val="left"/>
              <w:rPr/>
            </w:pPr>
            <w:r>
              <w:rPr/>
              <w:t>  </w:t>
            </w:r>
          </w:p>
        </w:tc>
        <w:tc>
          <w:tcPr>
            <w:tcW w:w="836" w:type="dxa"/>
            <w:tcBorders/>
          </w:tcPr>
          <w:p>
            <w:pPr>
              <w:pStyle w:val="TableContents"/>
              <w:bidi w:val="0"/>
              <w:spacing w:before="0" w:after="283"/>
              <w:jc w:val="center"/>
              <w:rPr/>
            </w:pPr>
            <w:r>
              <w:rPr/>
              <w:t>4.1</w:t>
            </w:r>
          </w:p>
        </w:tc>
        <w:tc>
          <w:tcPr>
            <w:tcW w:w="198" w:type="dxa"/>
            <w:tcBorders/>
            <w:vAlign w:val="bottom"/>
          </w:tcPr>
          <w:p>
            <w:pPr>
              <w:pStyle w:val="TableContents"/>
              <w:bidi w:val="0"/>
              <w:spacing w:before="0" w:after="283"/>
              <w:jc w:val="left"/>
              <w:rPr/>
            </w:pPr>
            <w:r>
              <w:rPr/>
              <w:t>  </w:t>
            </w:r>
          </w:p>
        </w:tc>
        <w:tc>
          <w:tcPr>
            <w:tcW w:w="829" w:type="dxa"/>
            <w:tcBorders/>
          </w:tcPr>
          <w:p>
            <w:pPr>
              <w:pStyle w:val="TableContents"/>
              <w:bidi w:val="0"/>
              <w:spacing w:before="0" w:after="283"/>
              <w:jc w:val="center"/>
              <w:rPr/>
            </w:pPr>
            <w:r>
              <w:rPr/>
              <w:t>8/13/2026</w:t>
            </w:r>
          </w:p>
        </w:tc>
        <w:tc>
          <w:tcPr>
            <w:tcW w:w="197"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left"/>
              <w:rPr>
                <w:sz w:val="4"/>
                <w:szCs w:val="4"/>
              </w:rPr>
            </w:pPr>
            <w:r>
              <w:rPr>
                <w:sz w:val="4"/>
                <w:szCs w:val="4"/>
              </w:rPr>
            </w:r>
          </w:p>
        </w:tc>
        <w:tc>
          <w:tcPr>
            <w:tcW w:w="516"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724" w:type="dxa"/>
            <w:tcBorders/>
            <w:vAlign w:val="center"/>
          </w:tcPr>
          <w:p>
            <w:pPr>
              <w:pStyle w:val="TableContents"/>
              <w:bidi w:val="0"/>
              <w:spacing w:before="0" w:after="283"/>
              <w:jc w:val="left"/>
              <w:rPr>
                <w:sz w:val="4"/>
                <w:szCs w:val="4"/>
              </w:rPr>
            </w:pPr>
            <w:r>
              <w:rPr>
                <w:sz w:val="4"/>
                <w:szCs w:val="4"/>
              </w:rPr>
            </w:r>
          </w:p>
        </w:tc>
        <w:tc>
          <w:tcPr>
            <w:tcW w:w="4205" w:type="dxa"/>
            <w:gridSpan w:val="2"/>
            <w:tcBorders/>
            <w:vAlign w:val="center"/>
          </w:tcPr>
          <w:p>
            <w:pPr>
              <w:pStyle w:val="TableContents"/>
              <w:bidi w:val="0"/>
              <w:spacing w:before="0" w:after="283"/>
              <w:jc w:val="left"/>
              <w:rPr>
                <w:sz w:val="4"/>
                <w:szCs w:val="4"/>
              </w:rPr>
            </w:pPr>
            <w:r>
              <w:rPr>
                <w:sz w:val="4"/>
                <w:szCs w:val="4"/>
              </w:rPr>
            </w:r>
          </w:p>
        </w:tc>
        <w:tc>
          <w:tcPr>
            <w:tcW w:w="791" w:type="dxa"/>
            <w:gridSpan w:val="2"/>
            <w:tcBorders/>
            <w:vAlign w:val="center"/>
          </w:tcPr>
          <w:p>
            <w:pPr>
              <w:pStyle w:val="TableContents"/>
              <w:bidi w:val="0"/>
              <w:spacing w:before="0" w:after="283"/>
              <w:jc w:val="left"/>
              <w:rPr>
                <w:sz w:val="4"/>
                <w:szCs w:val="4"/>
              </w:rPr>
            </w:pPr>
            <w:r>
              <w:rPr>
                <w:sz w:val="4"/>
                <w:szCs w:val="4"/>
              </w:rPr>
            </w:r>
          </w:p>
        </w:tc>
        <w:tc>
          <w:tcPr>
            <w:tcW w:w="1124" w:type="dxa"/>
            <w:gridSpan w:val="2"/>
            <w:tcBorders/>
            <w:vAlign w:val="center"/>
          </w:tcPr>
          <w:p>
            <w:pPr>
              <w:pStyle w:val="TableContents"/>
              <w:bidi w:val="0"/>
              <w:spacing w:before="0" w:after="283"/>
              <w:jc w:val="left"/>
              <w:rPr>
                <w:sz w:val="4"/>
                <w:szCs w:val="4"/>
              </w:rPr>
            </w:pPr>
            <w:r>
              <w:rPr>
                <w:sz w:val="4"/>
                <w:szCs w:val="4"/>
              </w:rPr>
            </w:r>
          </w:p>
        </w:tc>
        <w:tc>
          <w:tcPr>
            <w:tcW w:w="1034" w:type="dxa"/>
            <w:gridSpan w:val="2"/>
            <w:tcBorders/>
            <w:vAlign w:val="center"/>
          </w:tcPr>
          <w:p>
            <w:pPr>
              <w:pStyle w:val="TableContents"/>
              <w:bidi w:val="0"/>
              <w:spacing w:before="0" w:after="283"/>
              <w:jc w:val="left"/>
              <w:rPr>
                <w:sz w:val="4"/>
                <w:szCs w:val="4"/>
              </w:rPr>
            </w:pPr>
            <w:r>
              <w:rPr>
                <w:sz w:val="4"/>
                <w:szCs w:val="4"/>
              </w:rPr>
            </w:r>
          </w:p>
        </w:tc>
        <w:tc>
          <w:tcPr>
            <w:tcW w:w="1027" w:type="dxa"/>
            <w:gridSpan w:val="2"/>
            <w:tcBorders/>
            <w:vAlign w:val="center"/>
          </w:tcPr>
          <w:p>
            <w:pPr>
              <w:pStyle w:val="TableContents"/>
              <w:bidi w:val="0"/>
              <w:spacing w:before="0" w:after="283"/>
              <w:jc w:val="left"/>
              <w:rPr>
                <w:sz w:val="4"/>
                <w:szCs w:val="4"/>
              </w:rPr>
            </w:pPr>
            <w:r>
              <w:rPr>
                <w:sz w:val="4"/>
                <w:szCs w:val="4"/>
              </w:rPr>
            </w:r>
          </w:p>
        </w:tc>
        <w:tc>
          <w:tcPr>
            <w:tcW w:w="1300" w:type="dxa"/>
            <w:gridSpan w:val="4"/>
            <w:tcBorders/>
            <w:vAlign w:val="center"/>
          </w:tcPr>
          <w:p>
            <w:pPr>
              <w:pStyle w:val="TableContents"/>
              <w:bidi w:val="0"/>
              <w:spacing w:before="0" w:after="283"/>
              <w:jc w:val="left"/>
              <w:rPr>
                <w:sz w:val="4"/>
                <w:szCs w:val="4"/>
              </w:rPr>
            </w:pPr>
            <w:r>
              <w:rPr>
                <w:sz w:val="4"/>
                <w:szCs w:val="4"/>
              </w:rPr>
            </w:r>
          </w:p>
        </w:tc>
      </w:tr>
      <w:tr>
        <w:trPr/>
        <w:tc>
          <w:tcPr>
            <w:tcW w:w="724" w:type="dxa"/>
            <w:tcBorders/>
          </w:tcPr>
          <w:p>
            <w:pPr>
              <w:pStyle w:val="TableContents"/>
              <w:bidi w:val="0"/>
              <w:spacing w:before="0" w:after="283"/>
              <w:jc w:val="left"/>
              <w:rPr/>
            </w:pPr>
            <w:r>
              <w:rPr/>
              <w:t>  </w:t>
            </w:r>
            <w:r>
              <w:rPr/>
              <w:t>5.1</w:t>
            </w:r>
          </w:p>
        </w:tc>
        <w:tc>
          <w:tcPr>
            <w:tcW w:w="311" w:type="dxa"/>
            <w:tcBorders/>
            <w:vAlign w:val="bottom"/>
          </w:tcPr>
          <w:p>
            <w:pPr>
              <w:pStyle w:val="TableContents"/>
              <w:bidi w:val="0"/>
              <w:spacing w:before="0" w:after="283"/>
              <w:jc w:val="left"/>
              <w:rPr/>
            </w:pPr>
            <w:r>
              <w:rPr/>
              <w:t>  </w:t>
            </w:r>
          </w:p>
        </w:tc>
        <w:tc>
          <w:tcPr>
            <w:tcW w:w="3894" w:type="dxa"/>
            <w:tcBorders/>
          </w:tcPr>
          <w:p>
            <w:pPr>
              <w:pStyle w:val="TableContents"/>
              <w:bidi w:val="0"/>
              <w:spacing w:before="0" w:after="283"/>
              <w:jc w:val="left"/>
              <w:rPr/>
            </w:pPr>
            <w:hyperlink r:id="rId20">
              <w:r>
                <w:rPr>
                  <w:rStyle w:val="InternetLink"/>
                </w:rPr>
                <w:t xml:space="preserve">Opinion of Cooley LLP </w:t>
              </w:r>
            </w:hyperlink>
          </w:p>
        </w:tc>
        <w:tc>
          <w:tcPr>
            <w:tcW w:w="198" w:type="dxa"/>
            <w:tcBorders/>
            <w:vAlign w:val="bottom"/>
          </w:tcPr>
          <w:p>
            <w:pPr>
              <w:pStyle w:val="TableContents"/>
              <w:bidi w:val="0"/>
              <w:spacing w:before="0" w:after="283"/>
              <w:jc w:val="left"/>
              <w:rPr/>
            </w:pPr>
            <w:r>
              <w:rPr/>
              <w:t>  </w:t>
            </w:r>
          </w:p>
        </w:tc>
        <w:tc>
          <w:tcPr>
            <w:tcW w:w="593" w:type="dxa"/>
            <w:tcBorders/>
          </w:tcPr>
          <w:p>
            <w:pPr>
              <w:pStyle w:val="TableContents"/>
              <w:bidi w:val="0"/>
              <w:spacing w:before="0" w:after="283"/>
              <w:jc w:val="center"/>
              <w:rPr/>
            </w:pPr>
            <w:r>
              <w:rPr/>
              <w:t>S-1</w:t>
            </w:r>
          </w:p>
        </w:tc>
        <w:tc>
          <w:tcPr>
            <w:tcW w:w="198" w:type="dxa"/>
            <w:tcBorders/>
            <w:vAlign w:val="bottom"/>
          </w:tcPr>
          <w:p>
            <w:pPr>
              <w:pStyle w:val="TableContents"/>
              <w:bidi w:val="0"/>
              <w:spacing w:before="0" w:after="283"/>
              <w:jc w:val="left"/>
              <w:rPr/>
            </w:pPr>
            <w:r>
              <w:rPr/>
              <w:t>  </w:t>
            </w:r>
          </w:p>
        </w:tc>
        <w:tc>
          <w:tcPr>
            <w:tcW w:w="926" w:type="dxa"/>
            <w:tcBorders/>
          </w:tcPr>
          <w:p>
            <w:pPr>
              <w:pStyle w:val="TableContents"/>
              <w:bidi w:val="0"/>
              <w:spacing w:before="0" w:after="283"/>
              <w:jc w:val="center"/>
              <w:rPr/>
            </w:pPr>
            <w:r>
              <w:rPr/>
              <w:t>333-298837</w:t>
            </w:r>
          </w:p>
        </w:tc>
        <w:tc>
          <w:tcPr>
            <w:tcW w:w="198" w:type="dxa"/>
            <w:tcBorders/>
            <w:vAlign w:val="bottom"/>
          </w:tcPr>
          <w:p>
            <w:pPr>
              <w:pStyle w:val="TableContents"/>
              <w:bidi w:val="0"/>
              <w:spacing w:before="0" w:after="283"/>
              <w:jc w:val="left"/>
              <w:rPr/>
            </w:pPr>
            <w:r>
              <w:rPr/>
              <w:t>  </w:t>
            </w:r>
          </w:p>
        </w:tc>
        <w:tc>
          <w:tcPr>
            <w:tcW w:w="836" w:type="dxa"/>
            <w:tcBorders/>
          </w:tcPr>
          <w:p>
            <w:pPr>
              <w:pStyle w:val="TableContents"/>
              <w:bidi w:val="0"/>
              <w:spacing w:before="0" w:after="283"/>
              <w:jc w:val="center"/>
              <w:rPr/>
            </w:pPr>
            <w:r>
              <w:rPr/>
              <w:t>5.1</w:t>
            </w:r>
          </w:p>
        </w:tc>
        <w:tc>
          <w:tcPr>
            <w:tcW w:w="198" w:type="dxa"/>
            <w:tcBorders/>
            <w:vAlign w:val="bottom"/>
          </w:tcPr>
          <w:p>
            <w:pPr>
              <w:pStyle w:val="TableContents"/>
              <w:bidi w:val="0"/>
              <w:spacing w:before="0" w:after="283"/>
              <w:jc w:val="left"/>
              <w:rPr/>
            </w:pPr>
            <w:r>
              <w:rPr/>
              <w:t>  </w:t>
            </w:r>
          </w:p>
        </w:tc>
        <w:tc>
          <w:tcPr>
            <w:tcW w:w="829" w:type="dxa"/>
            <w:tcBorders/>
          </w:tcPr>
          <w:p>
            <w:pPr>
              <w:pStyle w:val="TableContents"/>
              <w:bidi w:val="0"/>
              <w:spacing w:before="0" w:after="283"/>
              <w:jc w:val="center"/>
              <w:rPr/>
            </w:pPr>
            <w:r>
              <w:rPr/>
              <w:t>9/6/2026</w:t>
            </w:r>
          </w:p>
        </w:tc>
        <w:tc>
          <w:tcPr>
            <w:tcW w:w="197"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left"/>
              <w:rPr>
                <w:sz w:val="4"/>
                <w:szCs w:val="4"/>
              </w:rPr>
            </w:pPr>
            <w:r>
              <w:rPr>
                <w:sz w:val="4"/>
                <w:szCs w:val="4"/>
              </w:rPr>
            </w:r>
          </w:p>
        </w:tc>
        <w:tc>
          <w:tcPr>
            <w:tcW w:w="516"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724" w:type="dxa"/>
            <w:tcBorders/>
            <w:vAlign w:val="center"/>
          </w:tcPr>
          <w:p>
            <w:pPr>
              <w:pStyle w:val="TableContents"/>
              <w:bidi w:val="0"/>
              <w:spacing w:before="0" w:after="283"/>
              <w:jc w:val="left"/>
              <w:rPr>
                <w:sz w:val="4"/>
                <w:szCs w:val="4"/>
              </w:rPr>
            </w:pPr>
            <w:r>
              <w:rPr>
                <w:sz w:val="4"/>
                <w:szCs w:val="4"/>
              </w:rPr>
            </w:r>
          </w:p>
        </w:tc>
        <w:tc>
          <w:tcPr>
            <w:tcW w:w="4205" w:type="dxa"/>
            <w:gridSpan w:val="2"/>
            <w:tcBorders/>
            <w:vAlign w:val="center"/>
          </w:tcPr>
          <w:p>
            <w:pPr>
              <w:pStyle w:val="TableContents"/>
              <w:bidi w:val="0"/>
              <w:spacing w:before="0" w:after="283"/>
              <w:jc w:val="left"/>
              <w:rPr>
                <w:sz w:val="4"/>
                <w:szCs w:val="4"/>
              </w:rPr>
            </w:pPr>
            <w:r>
              <w:rPr>
                <w:sz w:val="4"/>
                <w:szCs w:val="4"/>
              </w:rPr>
            </w:r>
          </w:p>
        </w:tc>
        <w:tc>
          <w:tcPr>
            <w:tcW w:w="791" w:type="dxa"/>
            <w:gridSpan w:val="2"/>
            <w:tcBorders/>
            <w:vAlign w:val="center"/>
          </w:tcPr>
          <w:p>
            <w:pPr>
              <w:pStyle w:val="TableContents"/>
              <w:bidi w:val="0"/>
              <w:spacing w:before="0" w:after="283"/>
              <w:jc w:val="left"/>
              <w:rPr>
                <w:sz w:val="4"/>
                <w:szCs w:val="4"/>
              </w:rPr>
            </w:pPr>
            <w:r>
              <w:rPr>
                <w:sz w:val="4"/>
                <w:szCs w:val="4"/>
              </w:rPr>
            </w:r>
          </w:p>
        </w:tc>
        <w:tc>
          <w:tcPr>
            <w:tcW w:w="1124" w:type="dxa"/>
            <w:gridSpan w:val="2"/>
            <w:tcBorders/>
            <w:vAlign w:val="center"/>
          </w:tcPr>
          <w:p>
            <w:pPr>
              <w:pStyle w:val="TableContents"/>
              <w:bidi w:val="0"/>
              <w:spacing w:before="0" w:after="283"/>
              <w:jc w:val="left"/>
              <w:rPr>
                <w:sz w:val="4"/>
                <w:szCs w:val="4"/>
              </w:rPr>
            </w:pPr>
            <w:r>
              <w:rPr>
                <w:sz w:val="4"/>
                <w:szCs w:val="4"/>
              </w:rPr>
            </w:r>
          </w:p>
        </w:tc>
        <w:tc>
          <w:tcPr>
            <w:tcW w:w="1034" w:type="dxa"/>
            <w:gridSpan w:val="2"/>
            <w:tcBorders/>
            <w:vAlign w:val="center"/>
          </w:tcPr>
          <w:p>
            <w:pPr>
              <w:pStyle w:val="TableContents"/>
              <w:bidi w:val="0"/>
              <w:spacing w:before="0" w:after="283"/>
              <w:jc w:val="left"/>
              <w:rPr>
                <w:sz w:val="4"/>
                <w:szCs w:val="4"/>
              </w:rPr>
            </w:pPr>
            <w:r>
              <w:rPr>
                <w:sz w:val="4"/>
                <w:szCs w:val="4"/>
              </w:rPr>
            </w:r>
          </w:p>
        </w:tc>
        <w:tc>
          <w:tcPr>
            <w:tcW w:w="1027" w:type="dxa"/>
            <w:gridSpan w:val="2"/>
            <w:tcBorders/>
            <w:vAlign w:val="center"/>
          </w:tcPr>
          <w:p>
            <w:pPr>
              <w:pStyle w:val="TableContents"/>
              <w:bidi w:val="0"/>
              <w:spacing w:before="0" w:after="283"/>
              <w:jc w:val="left"/>
              <w:rPr>
                <w:sz w:val="4"/>
                <w:szCs w:val="4"/>
              </w:rPr>
            </w:pPr>
            <w:r>
              <w:rPr>
                <w:sz w:val="4"/>
                <w:szCs w:val="4"/>
              </w:rPr>
            </w:r>
          </w:p>
        </w:tc>
        <w:tc>
          <w:tcPr>
            <w:tcW w:w="1300" w:type="dxa"/>
            <w:gridSpan w:val="4"/>
            <w:tcBorders/>
            <w:vAlign w:val="center"/>
          </w:tcPr>
          <w:p>
            <w:pPr>
              <w:pStyle w:val="TableContents"/>
              <w:bidi w:val="0"/>
              <w:spacing w:before="0" w:after="283"/>
              <w:jc w:val="left"/>
              <w:rPr>
                <w:sz w:val="4"/>
                <w:szCs w:val="4"/>
              </w:rPr>
            </w:pPr>
            <w:r>
              <w:rPr>
                <w:sz w:val="4"/>
                <w:szCs w:val="4"/>
              </w:rPr>
            </w:r>
          </w:p>
        </w:tc>
      </w:tr>
      <w:tr>
        <w:trPr/>
        <w:tc>
          <w:tcPr>
            <w:tcW w:w="724" w:type="dxa"/>
            <w:tcBorders/>
          </w:tcPr>
          <w:p>
            <w:pPr>
              <w:pStyle w:val="TableContents"/>
              <w:bidi w:val="0"/>
              <w:spacing w:before="0" w:after="283"/>
              <w:jc w:val="left"/>
              <w:rPr/>
            </w:pPr>
            <w:r>
              <w:rPr/>
              <w:t> </w:t>
            </w:r>
            <w:r>
              <w:rPr/>
              <w:t>10.1+</w:t>
            </w:r>
          </w:p>
        </w:tc>
        <w:tc>
          <w:tcPr>
            <w:tcW w:w="311" w:type="dxa"/>
            <w:tcBorders/>
            <w:vAlign w:val="bottom"/>
          </w:tcPr>
          <w:p>
            <w:pPr>
              <w:pStyle w:val="TableContents"/>
              <w:bidi w:val="0"/>
              <w:spacing w:before="0" w:after="283"/>
              <w:jc w:val="left"/>
              <w:rPr/>
            </w:pPr>
            <w:r>
              <w:rPr/>
              <w:t>  </w:t>
            </w:r>
          </w:p>
        </w:tc>
        <w:tc>
          <w:tcPr>
            <w:tcW w:w="3894" w:type="dxa"/>
            <w:tcBorders/>
          </w:tcPr>
          <w:p>
            <w:pPr>
              <w:pStyle w:val="TableContents"/>
              <w:bidi w:val="0"/>
              <w:spacing w:before="0" w:after="283"/>
              <w:jc w:val="left"/>
              <w:rPr/>
            </w:pPr>
            <w:hyperlink r:id="rId21">
              <w:r>
                <w:rPr>
                  <w:rStyle w:val="InternetLink"/>
                </w:rPr>
                <w:t>2019 Equity Incentive Plan and Forms of Stock Option Agreement and Notice of Exercise and Restricted Stock Unit Grant Notice and Restricted Stock Award Agreement</w:t>
              </w:r>
            </w:hyperlink>
          </w:p>
        </w:tc>
        <w:tc>
          <w:tcPr>
            <w:tcW w:w="198" w:type="dxa"/>
            <w:tcBorders/>
            <w:vAlign w:val="bottom"/>
          </w:tcPr>
          <w:p>
            <w:pPr>
              <w:pStyle w:val="TableContents"/>
              <w:bidi w:val="0"/>
              <w:spacing w:before="0" w:after="283"/>
              <w:jc w:val="left"/>
              <w:rPr/>
            </w:pPr>
            <w:r>
              <w:rPr/>
              <w:t>  </w:t>
            </w:r>
          </w:p>
        </w:tc>
        <w:tc>
          <w:tcPr>
            <w:tcW w:w="593" w:type="dxa"/>
            <w:tcBorders/>
          </w:tcPr>
          <w:p>
            <w:pPr>
              <w:pStyle w:val="TableContents"/>
              <w:bidi w:val="0"/>
              <w:spacing w:before="0" w:after="283"/>
              <w:jc w:val="center"/>
              <w:rPr/>
            </w:pPr>
            <w:r>
              <w:rPr/>
              <w:t>S-1</w:t>
            </w:r>
          </w:p>
        </w:tc>
        <w:tc>
          <w:tcPr>
            <w:tcW w:w="198" w:type="dxa"/>
            <w:tcBorders/>
            <w:vAlign w:val="bottom"/>
          </w:tcPr>
          <w:p>
            <w:pPr>
              <w:pStyle w:val="TableContents"/>
              <w:bidi w:val="0"/>
              <w:spacing w:before="0" w:after="283"/>
              <w:jc w:val="left"/>
              <w:rPr/>
            </w:pPr>
            <w:r>
              <w:rPr/>
              <w:t>  </w:t>
            </w:r>
          </w:p>
        </w:tc>
        <w:tc>
          <w:tcPr>
            <w:tcW w:w="926" w:type="dxa"/>
            <w:tcBorders/>
          </w:tcPr>
          <w:p>
            <w:pPr>
              <w:pStyle w:val="TableContents"/>
              <w:bidi w:val="0"/>
              <w:spacing w:before="0" w:after="283"/>
              <w:jc w:val="center"/>
              <w:rPr/>
            </w:pPr>
            <w:r>
              <w:rPr/>
              <w:t>333-290400</w:t>
            </w:r>
          </w:p>
        </w:tc>
        <w:tc>
          <w:tcPr>
            <w:tcW w:w="198" w:type="dxa"/>
            <w:tcBorders/>
            <w:vAlign w:val="bottom"/>
          </w:tcPr>
          <w:p>
            <w:pPr>
              <w:pStyle w:val="TableContents"/>
              <w:bidi w:val="0"/>
              <w:spacing w:before="0" w:after="283"/>
              <w:jc w:val="left"/>
              <w:rPr/>
            </w:pPr>
            <w:r>
              <w:rPr/>
              <w:t>  </w:t>
            </w:r>
          </w:p>
        </w:tc>
        <w:tc>
          <w:tcPr>
            <w:tcW w:w="836" w:type="dxa"/>
            <w:tcBorders/>
          </w:tcPr>
          <w:p>
            <w:pPr>
              <w:pStyle w:val="TableContents"/>
              <w:bidi w:val="0"/>
              <w:spacing w:before="0" w:after="283"/>
              <w:jc w:val="center"/>
              <w:rPr/>
            </w:pPr>
            <w:r>
              <w:rPr/>
              <w:t>10.1</w:t>
            </w:r>
          </w:p>
        </w:tc>
        <w:tc>
          <w:tcPr>
            <w:tcW w:w="198" w:type="dxa"/>
            <w:tcBorders/>
            <w:vAlign w:val="bottom"/>
          </w:tcPr>
          <w:p>
            <w:pPr>
              <w:pStyle w:val="TableContents"/>
              <w:bidi w:val="0"/>
              <w:spacing w:before="0" w:after="283"/>
              <w:jc w:val="left"/>
              <w:rPr/>
            </w:pPr>
            <w:r>
              <w:rPr/>
              <w:t>  </w:t>
            </w:r>
          </w:p>
        </w:tc>
        <w:tc>
          <w:tcPr>
            <w:tcW w:w="829" w:type="dxa"/>
            <w:tcBorders/>
          </w:tcPr>
          <w:p>
            <w:pPr>
              <w:pStyle w:val="TableContents"/>
              <w:bidi w:val="0"/>
              <w:spacing w:before="0" w:after="283"/>
              <w:jc w:val="center"/>
              <w:rPr/>
            </w:pPr>
            <w:r>
              <w:rPr/>
              <w:t>9/19/2025</w:t>
            </w:r>
          </w:p>
        </w:tc>
        <w:tc>
          <w:tcPr>
            <w:tcW w:w="197"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left"/>
              <w:rPr>
                <w:sz w:val="4"/>
                <w:szCs w:val="4"/>
              </w:rPr>
            </w:pPr>
            <w:r>
              <w:rPr>
                <w:sz w:val="4"/>
                <w:szCs w:val="4"/>
              </w:rPr>
            </w:r>
          </w:p>
        </w:tc>
        <w:tc>
          <w:tcPr>
            <w:tcW w:w="516"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724" w:type="dxa"/>
            <w:tcBorders/>
            <w:vAlign w:val="center"/>
          </w:tcPr>
          <w:p>
            <w:pPr>
              <w:pStyle w:val="TableContents"/>
              <w:bidi w:val="0"/>
              <w:spacing w:before="0" w:after="283"/>
              <w:jc w:val="left"/>
              <w:rPr>
                <w:sz w:val="4"/>
                <w:szCs w:val="4"/>
              </w:rPr>
            </w:pPr>
            <w:r>
              <w:rPr>
                <w:sz w:val="4"/>
                <w:szCs w:val="4"/>
              </w:rPr>
            </w:r>
          </w:p>
        </w:tc>
        <w:tc>
          <w:tcPr>
            <w:tcW w:w="4205" w:type="dxa"/>
            <w:gridSpan w:val="2"/>
            <w:tcBorders/>
            <w:vAlign w:val="center"/>
          </w:tcPr>
          <w:p>
            <w:pPr>
              <w:pStyle w:val="TableContents"/>
              <w:bidi w:val="0"/>
              <w:spacing w:before="0" w:after="283"/>
              <w:jc w:val="left"/>
              <w:rPr>
                <w:sz w:val="4"/>
                <w:szCs w:val="4"/>
              </w:rPr>
            </w:pPr>
            <w:r>
              <w:rPr>
                <w:sz w:val="4"/>
                <w:szCs w:val="4"/>
              </w:rPr>
            </w:r>
          </w:p>
        </w:tc>
        <w:tc>
          <w:tcPr>
            <w:tcW w:w="791" w:type="dxa"/>
            <w:gridSpan w:val="2"/>
            <w:tcBorders/>
            <w:vAlign w:val="center"/>
          </w:tcPr>
          <w:p>
            <w:pPr>
              <w:pStyle w:val="TableContents"/>
              <w:bidi w:val="0"/>
              <w:spacing w:before="0" w:after="283"/>
              <w:jc w:val="left"/>
              <w:rPr>
                <w:sz w:val="4"/>
                <w:szCs w:val="4"/>
              </w:rPr>
            </w:pPr>
            <w:r>
              <w:rPr>
                <w:sz w:val="4"/>
                <w:szCs w:val="4"/>
              </w:rPr>
            </w:r>
          </w:p>
        </w:tc>
        <w:tc>
          <w:tcPr>
            <w:tcW w:w="1124" w:type="dxa"/>
            <w:gridSpan w:val="2"/>
            <w:tcBorders/>
            <w:vAlign w:val="center"/>
          </w:tcPr>
          <w:p>
            <w:pPr>
              <w:pStyle w:val="TableContents"/>
              <w:bidi w:val="0"/>
              <w:spacing w:before="0" w:after="283"/>
              <w:jc w:val="left"/>
              <w:rPr>
                <w:sz w:val="4"/>
                <w:szCs w:val="4"/>
              </w:rPr>
            </w:pPr>
            <w:r>
              <w:rPr>
                <w:sz w:val="4"/>
                <w:szCs w:val="4"/>
              </w:rPr>
            </w:r>
          </w:p>
        </w:tc>
        <w:tc>
          <w:tcPr>
            <w:tcW w:w="1034" w:type="dxa"/>
            <w:gridSpan w:val="2"/>
            <w:tcBorders/>
            <w:vAlign w:val="center"/>
          </w:tcPr>
          <w:p>
            <w:pPr>
              <w:pStyle w:val="TableContents"/>
              <w:bidi w:val="0"/>
              <w:spacing w:before="0" w:after="283"/>
              <w:jc w:val="left"/>
              <w:rPr>
                <w:sz w:val="4"/>
                <w:szCs w:val="4"/>
              </w:rPr>
            </w:pPr>
            <w:r>
              <w:rPr>
                <w:sz w:val="4"/>
                <w:szCs w:val="4"/>
              </w:rPr>
            </w:r>
          </w:p>
        </w:tc>
        <w:tc>
          <w:tcPr>
            <w:tcW w:w="1027" w:type="dxa"/>
            <w:gridSpan w:val="2"/>
            <w:tcBorders/>
            <w:vAlign w:val="center"/>
          </w:tcPr>
          <w:p>
            <w:pPr>
              <w:pStyle w:val="TableContents"/>
              <w:bidi w:val="0"/>
              <w:spacing w:before="0" w:after="283"/>
              <w:jc w:val="left"/>
              <w:rPr>
                <w:sz w:val="4"/>
                <w:szCs w:val="4"/>
              </w:rPr>
            </w:pPr>
            <w:r>
              <w:rPr>
                <w:sz w:val="4"/>
                <w:szCs w:val="4"/>
              </w:rPr>
            </w:r>
          </w:p>
        </w:tc>
        <w:tc>
          <w:tcPr>
            <w:tcW w:w="1300" w:type="dxa"/>
            <w:gridSpan w:val="4"/>
            <w:tcBorders/>
            <w:vAlign w:val="center"/>
          </w:tcPr>
          <w:p>
            <w:pPr>
              <w:pStyle w:val="TableContents"/>
              <w:bidi w:val="0"/>
              <w:spacing w:before="0" w:after="283"/>
              <w:jc w:val="left"/>
              <w:rPr>
                <w:sz w:val="4"/>
                <w:szCs w:val="4"/>
              </w:rPr>
            </w:pPr>
            <w:r>
              <w:rPr>
                <w:sz w:val="4"/>
                <w:szCs w:val="4"/>
              </w:rPr>
            </w:r>
          </w:p>
        </w:tc>
      </w:tr>
      <w:tr>
        <w:trPr/>
        <w:tc>
          <w:tcPr>
            <w:tcW w:w="724" w:type="dxa"/>
            <w:tcBorders/>
          </w:tcPr>
          <w:p>
            <w:pPr>
              <w:pStyle w:val="TableContents"/>
              <w:bidi w:val="0"/>
              <w:spacing w:before="0" w:after="283"/>
              <w:jc w:val="left"/>
              <w:rPr/>
            </w:pPr>
            <w:r>
              <w:rPr/>
              <w:t> </w:t>
            </w:r>
            <w:r>
              <w:rPr/>
              <w:t>10.2+</w:t>
            </w:r>
          </w:p>
        </w:tc>
        <w:tc>
          <w:tcPr>
            <w:tcW w:w="311" w:type="dxa"/>
            <w:tcBorders/>
            <w:vAlign w:val="bottom"/>
          </w:tcPr>
          <w:p>
            <w:pPr>
              <w:pStyle w:val="TableContents"/>
              <w:bidi w:val="0"/>
              <w:spacing w:before="0" w:after="283"/>
              <w:jc w:val="left"/>
              <w:rPr/>
            </w:pPr>
            <w:r>
              <w:rPr/>
              <w:t>  </w:t>
            </w:r>
          </w:p>
        </w:tc>
        <w:tc>
          <w:tcPr>
            <w:tcW w:w="3894" w:type="dxa"/>
            <w:tcBorders/>
          </w:tcPr>
          <w:p>
            <w:pPr>
              <w:pStyle w:val="TableContents"/>
              <w:bidi w:val="0"/>
              <w:spacing w:before="0" w:after="283"/>
              <w:jc w:val="left"/>
              <w:rPr/>
            </w:pPr>
            <w:hyperlink r:id="rId22">
              <w:r>
                <w:rPr>
                  <w:rStyle w:val="InternetLink"/>
                </w:rPr>
                <w:t>2025 Equity Incentive Plan and Forms of Stock Option Grant Notice, Stock Option Agreement, Notice of Exercise, Restricted Stock Unit Grant Notice and Restricted Stock Unit Award Agreement</w:t>
              </w:r>
            </w:hyperlink>
          </w:p>
        </w:tc>
        <w:tc>
          <w:tcPr>
            <w:tcW w:w="198" w:type="dxa"/>
            <w:tcBorders/>
            <w:vAlign w:val="bottom"/>
          </w:tcPr>
          <w:p>
            <w:pPr>
              <w:pStyle w:val="TableContents"/>
              <w:bidi w:val="0"/>
              <w:spacing w:before="0" w:after="283"/>
              <w:jc w:val="left"/>
              <w:rPr/>
            </w:pPr>
            <w:r>
              <w:rPr/>
              <w:t>  </w:t>
            </w:r>
          </w:p>
        </w:tc>
        <w:tc>
          <w:tcPr>
            <w:tcW w:w="593" w:type="dxa"/>
            <w:tcBorders/>
          </w:tcPr>
          <w:p>
            <w:pPr>
              <w:pStyle w:val="TableContents"/>
              <w:bidi w:val="0"/>
              <w:spacing w:before="0" w:after="283"/>
              <w:jc w:val="center"/>
              <w:rPr/>
            </w:pPr>
            <w:r>
              <w:rPr/>
              <w:t>S-1/A</w:t>
            </w:r>
          </w:p>
        </w:tc>
        <w:tc>
          <w:tcPr>
            <w:tcW w:w="198" w:type="dxa"/>
            <w:tcBorders/>
            <w:vAlign w:val="bottom"/>
          </w:tcPr>
          <w:p>
            <w:pPr>
              <w:pStyle w:val="TableContents"/>
              <w:bidi w:val="0"/>
              <w:spacing w:before="0" w:after="283"/>
              <w:jc w:val="left"/>
              <w:rPr/>
            </w:pPr>
            <w:r>
              <w:rPr/>
              <w:t>  </w:t>
            </w:r>
          </w:p>
        </w:tc>
        <w:tc>
          <w:tcPr>
            <w:tcW w:w="926" w:type="dxa"/>
            <w:tcBorders/>
          </w:tcPr>
          <w:p>
            <w:pPr>
              <w:pStyle w:val="TableContents"/>
              <w:bidi w:val="0"/>
              <w:spacing w:before="0" w:after="283"/>
              <w:jc w:val="center"/>
              <w:rPr/>
            </w:pPr>
            <w:r>
              <w:rPr/>
              <w:t>333-290400</w:t>
            </w:r>
          </w:p>
        </w:tc>
        <w:tc>
          <w:tcPr>
            <w:tcW w:w="198" w:type="dxa"/>
            <w:tcBorders/>
            <w:vAlign w:val="bottom"/>
          </w:tcPr>
          <w:p>
            <w:pPr>
              <w:pStyle w:val="TableContents"/>
              <w:bidi w:val="0"/>
              <w:spacing w:before="0" w:after="283"/>
              <w:jc w:val="left"/>
              <w:rPr/>
            </w:pPr>
            <w:r>
              <w:rPr/>
              <w:t>  </w:t>
            </w:r>
          </w:p>
        </w:tc>
        <w:tc>
          <w:tcPr>
            <w:tcW w:w="836" w:type="dxa"/>
            <w:tcBorders/>
          </w:tcPr>
          <w:p>
            <w:pPr>
              <w:pStyle w:val="TableContents"/>
              <w:bidi w:val="0"/>
              <w:spacing w:before="0" w:after="283"/>
              <w:jc w:val="center"/>
              <w:rPr/>
            </w:pPr>
            <w:r>
              <w:rPr/>
              <w:t>10.2</w:t>
            </w:r>
          </w:p>
        </w:tc>
        <w:tc>
          <w:tcPr>
            <w:tcW w:w="198" w:type="dxa"/>
            <w:tcBorders/>
            <w:vAlign w:val="bottom"/>
          </w:tcPr>
          <w:p>
            <w:pPr>
              <w:pStyle w:val="TableContents"/>
              <w:bidi w:val="0"/>
              <w:spacing w:before="0" w:after="283"/>
              <w:jc w:val="left"/>
              <w:rPr/>
            </w:pPr>
            <w:r>
              <w:rPr/>
              <w:t>  </w:t>
            </w:r>
          </w:p>
        </w:tc>
        <w:tc>
          <w:tcPr>
            <w:tcW w:w="829" w:type="dxa"/>
            <w:tcBorders/>
          </w:tcPr>
          <w:p>
            <w:pPr>
              <w:pStyle w:val="TableContents"/>
              <w:bidi w:val="0"/>
              <w:spacing w:before="0" w:after="283"/>
              <w:jc w:val="center"/>
              <w:rPr/>
            </w:pPr>
            <w:r>
              <w:rPr/>
              <w:t>10/6/2025</w:t>
            </w:r>
          </w:p>
        </w:tc>
        <w:tc>
          <w:tcPr>
            <w:tcW w:w="197"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left"/>
              <w:rPr>
                <w:sz w:val="4"/>
                <w:szCs w:val="4"/>
              </w:rPr>
            </w:pPr>
            <w:r>
              <w:rPr>
                <w:sz w:val="4"/>
                <w:szCs w:val="4"/>
              </w:rPr>
            </w:r>
          </w:p>
        </w:tc>
        <w:tc>
          <w:tcPr>
            <w:tcW w:w="516"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724" w:type="dxa"/>
            <w:tcBorders/>
            <w:vAlign w:val="center"/>
          </w:tcPr>
          <w:p>
            <w:pPr>
              <w:pStyle w:val="TableContents"/>
              <w:bidi w:val="0"/>
              <w:spacing w:before="0" w:after="283"/>
              <w:jc w:val="left"/>
              <w:rPr>
                <w:sz w:val="4"/>
                <w:szCs w:val="4"/>
              </w:rPr>
            </w:pPr>
            <w:r>
              <w:rPr>
                <w:sz w:val="4"/>
                <w:szCs w:val="4"/>
              </w:rPr>
            </w:r>
          </w:p>
        </w:tc>
        <w:tc>
          <w:tcPr>
            <w:tcW w:w="4205" w:type="dxa"/>
            <w:gridSpan w:val="2"/>
            <w:tcBorders/>
            <w:vAlign w:val="center"/>
          </w:tcPr>
          <w:p>
            <w:pPr>
              <w:pStyle w:val="TableContents"/>
              <w:bidi w:val="0"/>
              <w:spacing w:before="0" w:after="283"/>
              <w:jc w:val="left"/>
              <w:rPr>
                <w:sz w:val="4"/>
                <w:szCs w:val="4"/>
              </w:rPr>
            </w:pPr>
            <w:r>
              <w:rPr>
                <w:sz w:val="4"/>
                <w:szCs w:val="4"/>
              </w:rPr>
            </w:r>
          </w:p>
        </w:tc>
        <w:tc>
          <w:tcPr>
            <w:tcW w:w="791" w:type="dxa"/>
            <w:gridSpan w:val="2"/>
            <w:tcBorders/>
            <w:vAlign w:val="center"/>
          </w:tcPr>
          <w:p>
            <w:pPr>
              <w:pStyle w:val="TableContents"/>
              <w:bidi w:val="0"/>
              <w:spacing w:before="0" w:after="283"/>
              <w:jc w:val="left"/>
              <w:rPr>
                <w:sz w:val="4"/>
                <w:szCs w:val="4"/>
              </w:rPr>
            </w:pPr>
            <w:r>
              <w:rPr>
                <w:sz w:val="4"/>
                <w:szCs w:val="4"/>
              </w:rPr>
            </w:r>
          </w:p>
        </w:tc>
        <w:tc>
          <w:tcPr>
            <w:tcW w:w="1124" w:type="dxa"/>
            <w:gridSpan w:val="2"/>
            <w:tcBorders/>
            <w:vAlign w:val="center"/>
          </w:tcPr>
          <w:p>
            <w:pPr>
              <w:pStyle w:val="TableContents"/>
              <w:bidi w:val="0"/>
              <w:spacing w:before="0" w:after="283"/>
              <w:jc w:val="left"/>
              <w:rPr>
                <w:sz w:val="4"/>
                <w:szCs w:val="4"/>
              </w:rPr>
            </w:pPr>
            <w:r>
              <w:rPr>
                <w:sz w:val="4"/>
                <w:szCs w:val="4"/>
              </w:rPr>
            </w:r>
          </w:p>
        </w:tc>
        <w:tc>
          <w:tcPr>
            <w:tcW w:w="1034" w:type="dxa"/>
            <w:gridSpan w:val="2"/>
            <w:tcBorders/>
            <w:vAlign w:val="center"/>
          </w:tcPr>
          <w:p>
            <w:pPr>
              <w:pStyle w:val="TableContents"/>
              <w:bidi w:val="0"/>
              <w:spacing w:before="0" w:after="283"/>
              <w:jc w:val="left"/>
              <w:rPr>
                <w:sz w:val="4"/>
                <w:szCs w:val="4"/>
              </w:rPr>
            </w:pPr>
            <w:r>
              <w:rPr>
                <w:sz w:val="4"/>
                <w:szCs w:val="4"/>
              </w:rPr>
            </w:r>
          </w:p>
        </w:tc>
        <w:tc>
          <w:tcPr>
            <w:tcW w:w="1027" w:type="dxa"/>
            <w:gridSpan w:val="2"/>
            <w:tcBorders/>
            <w:vAlign w:val="center"/>
          </w:tcPr>
          <w:p>
            <w:pPr>
              <w:pStyle w:val="TableContents"/>
              <w:bidi w:val="0"/>
              <w:spacing w:before="0" w:after="283"/>
              <w:jc w:val="left"/>
              <w:rPr>
                <w:sz w:val="4"/>
                <w:szCs w:val="4"/>
              </w:rPr>
            </w:pPr>
            <w:r>
              <w:rPr>
                <w:sz w:val="4"/>
                <w:szCs w:val="4"/>
              </w:rPr>
            </w:r>
          </w:p>
        </w:tc>
        <w:tc>
          <w:tcPr>
            <w:tcW w:w="1300" w:type="dxa"/>
            <w:gridSpan w:val="4"/>
            <w:tcBorders/>
            <w:vAlign w:val="center"/>
          </w:tcPr>
          <w:p>
            <w:pPr>
              <w:pStyle w:val="TableContents"/>
              <w:bidi w:val="0"/>
              <w:spacing w:before="0" w:after="283"/>
              <w:jc w:val="left"/>
              <w:rPr>
                <w:sz w:val="4"/>
                <w:szCs w:val="4"/>
              </w:rPr>
            </w:pPr>
            <w:r>
              <w:rPr>
                <w:sz w:val="4"/>
                <w:szCs w:val="4"/>
              </w:rPr>
            </w:r>
          </w:p>
        </w:tc>
      </w:tr>
      <w:tr>
        <w:trPr/>
        <w:tc>
          <w:tcPr>
            <w:tcW w:w="724" w:type="dxa"/>
            <w:tcBorders/>
          </w:tcPr>
          <w:p>
            <w:pPr>
              <w:pStyle w:val="TableContents"/>
              <w:bidi w:val="0"/>
              <w:spacing w:before="0" w:after="283"/>
              <w:jc w:val="left"/>
              <w:rPr/>
            </w:pPr>
            <w:r>
              <w:rPr/>
              <w:t> </w:t>
            </w:r>
            <w:r>
              <w:rPr/>
              <w:t>10.3+</w:t>
            </w:r>
          </w:p>
        </w:tc>
        <w:tc>
          <w:tcPr>
            <w:tcW w:w="311" w:type="dxa"/>
            <w:tcBorders/>
            <w:vAlign w:val="bottom"/>
          </w:tcPr>
          <w:p>
            <w:pPr>
              <w:pStyle w:val="TableContents"/>
              <w:bidi w:val="0"/>
              <w:spacing w:before="0" w:after="283"/>
              <w:jc w:val="left"/>
              <w:rPr/>
            </w:pPr>
            <w:r>
              <w:rPr/>
              <w:t>  </w:t>
            </w:r>
          </w:p>
        </w:tc>
        <w:tc>
          <w:tcPr>
            <w:tcW w:w="3894" w:type="dxa"/>
            <w:tcBorders/>
          </w:tcPr>
          <w:p>
            <w:pPr>
              <w:pStyle w:val="TableContents"/>
              <w:bidi w:val="0"/>
              <w:spacing w:before="0" w:after="283"/>
              <w:jc w:val="left"/>
              <w:rPr/>
            </w:pPr>
            <w:hyperlink r:id="rId23">
              <w:r>
                <w:rPr>
                  <w:rStyle w:val="InternetLink"/>
                </w:rPr>
                <w:t xml:space="preserve">2025 Employee Stock Purchase Plan </w:t>
              </w:r>
            </w:hyperlink>
          </w:p>
        </w:tc>
        <w:tc>
          <w:tcPr>
            <w:tcW w:w="198" w:type="dxa"/>
            <w:tcBorders/>
            <w:vAlign w:val="bottom"/>
          </w:tcPr>
          <w:p>
            <w:pPr>
              <w:pStyle w:val="TableContents"/>
              <w:bidi w:val="0"/>
              <w:spacing w:before="0" w:after="283"/>
              <w:jc w:val="left"/>
              <w:rPr/>
            </w:pPr>
            <w:r>
              <w:rPr/>
              <w:t>  </w:t>
            </w:r>
          </w:p>
        </w:tc>
        <w:tc>
          <w:tcPr>
            <w:tcW w:w="593" w:type="dxa"/>
            <w:tcBorders/>
          </w:tcPr>
          <w:p>
            <w:pPr>
              <w:pStyle w:val="TableContents"/>
              <w:bidi w:val="0"/>
              <w:spacing w:before="0" w:after="283"/>
              <w:jc w:val="center"/>
              <w:rPr/>
            </w:pPr>
            <w:r>
              <w:rPr/>
              <w:t>S-1/A</w:t>
            </w:r>
          </w:p>
        </w:tc>
        <w:tc>
          <w:tcPr>
            <w:tcW w:w="198" w:type="dxa"/>
            <w:tcBorders/>
            <w:vAlign w:val="bottom"/>
          </w:tcPr>
          <w:p>
            <w:pPr>
              <w:pStyle w:val="TableContents"/>
              <w:bidi w:val="0"/>
              <w:spacing w:before="0" w:after="283"/>
              <w:jc w:val="left"/>
              <w:rPr/>
            </w:pPr>
            <w:r>
              <w:rPr/>
              <w:t>  </w:t>
            </w:r>
          </w:p>
        </w:tc>
        <w:tc>
          <w:tcPr>
            <w:tcW w:w="926" w:type="dxa"/>
            <w:tcBorders/>
          </w:tcPr>
          <w:p>
            <w:pPr>
              <w:pStyle w:val="TableContents"/>
              <w:bidi w:val="0"/>
              <w:spacing w:before="0" w:after="283"/>
              <w:jc w:val="center"/>
              <w:rPr/>
            </w:pPr>
            <w:r>
              <w:rPr/>
              <w:t>333-290400</w:t>
            </w:r>
          </w:p>
        </w:tc>
        <w:tc>
          <w:tcPr>
            <w:tcW w:w="198" w:type="dxa"/>
            <w:tcBorders/>
            <w:vAlign w:val="bottom"/>
          </w:tcPr>
          <w:p>
            <w:pPr>
              <w:pStyle w:val="TableContents"/>
              <w:bidi w:val="0"/>
              <w:spacing w:before="0" w:after="283"/>
              <w:jc w:val="left"/>
              <w:rPr/>
            </w:pPr>
            <w:r>
              <w:rPr/>
              <w:t>  </w:t>
            </w:r>
          </w:p>
        </w:tc>
        <w:tc>
          <w:tcPr>
            <w:tcW w:w="836" w:type="dxa"/>
            <w:tcBorders/>
          </w:tcPr>
          <w:p>
            <w:pPr>
              <w:pStyle w:val="TableContents"/>
              <w:bidi w:val="0"/>
              <w:spacing w:before="0" w:after="283"/>
              <w:jc w:val="center"/>
              <w:rPr/>
            </w:pPr>
            <w:r>
              <w:rPr/>
              <w:t>10.3</w:t>
            </w:r>
          </w:p>
        </w:tc>
        <w:tc>
          <w:tcPr>
            <w:tcW w:w="198" w:type="dxa"/>
            <w:tcBorders/>
            <w:vAlign w:val="bottom"/>
          </w:tcPr>
          <w:p>
            <w:pPr>
              <w:pStyle w:val="TableContents"/>
              <w:bidi w:val="0"/>
              <w:spacing w:before="0" w:after="283"/>
              <w:jc w:val="left"/>
              <w:rPr/>
            </w:pPr>
            <w:r>
              <w:rPr/>
              <w:t>  </w:t>
            </w:r>
          </w:p>
        </w:tc>
        <w:tc>
          <w:tcPr>
            <w:tcW w:w="829" w:type="dxa"/>
            <w:tcBorders/>
          </w:tcPr>
          <w:p>
            <w:pPr>
              <w:pStyle w:val="TableContents"/>
              <w:bidi w:val="0"/>
              <w:spacing w:before="0" w:after="283"/>
              <w:jc w:val="center"/>
              <w:rPr/>
            </w:pPr>
            <w:r>
              <w:rPr/>
              <w:t>10/6/2025</w:t>
            </w:r>
          </w:p>
        </w:tc>
        <w:tc>
          <w:tcPr>
            <w:tcW w:w="197"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left"/>
              <w:rPr>
                <w:sz w:val="4"/>
                <w:szCs w:val="4"/>
              </w:rPr>
            </w:pPr>
            <w:r>
              <w:rPr>
                <w:sz w:val="4"/>
                <w:szCs w:val="4"/>
              </w:rPr>
            </w:r>
          </w:p>
        </w:tc>
        <w:tc>
          <w:tcPr>
            <w:tcW w:w="516"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724" w:type="dxa"/>
            <w:tcBorders/>
            <w:vAlign w:val="center"/>
          </w:tcPr>
          <w:p>
            <w:pPr>
              <w:pStyle w:val="TableContents"/>
              <w:bidi w:val="0"/>
              <w:spacing w:before="0" w:after="283"/>
              <w:jc w:val="left"/>
              <w:rPr>
                <w:sz w:val="4"/>
                <w:szCs w:val="4"/>
              </w:rPr>
            </w:pPr>
            <w:r>
              <w:rPr>
                <w:sz w:val="4"/>
                <w:szCs w:val="4"/>
              </w:rPr>
            </w:r>
          </w:p>
        </w:tc>
        <w:tc>
          <w:tcPr>
            <w:tcW w:w="4205" w:type="dxa"/>
            <w:gridSpan w:val="2"/>
            <w:tcBorders/>
            <w:vAlign w:val="center"/>
          </w:tcPr>
          <w:p>
            <w:pPr>
              <w:pStyle w:val="TableContents"/>
              <w:bidi w:val="0"/>
              <w:spacing w:before="0" w:after="283"/>
              <w:jc w:val="left"/>
              <w:rPr>
                <w:sz w:val="4"/>
                <w:szCs w:val="4"/>
              </w:rPr>
            </w:pPr>
            <w:r>
              <w:rPr>
                <w:sz w:val="4"/>
                <w:szCs w:val="4"/>
              </w:rPr>
            </w:r>
          </w:p>
        </w:tc>
        <w:tc>
          <w:tcPr>
            <w:tcW w:w="791" w:type="dxa"/>
            <w:gridSpan w:val="2"/>
            <w:tcBorders/>
            <w:vAlign w:val="center"/>
          </w:tcPr>
          <w:p>
            <w:pPr>
              <w:pStyle w:val="TableContents"/>
              <w:bidi w:val="0"/>
              <w:spacing w:before="0" w:after="283"/>
              <w:jc w:val="left"/>
              <w:rPr>
                <w:sz w:val="4"/>
                <w:szCs w:val="4"/>
              </w:rPr>
            </w:pPr>
            <w:r>
              <w:rPr>
                <w:sz w:val="4"/>
                <w:szCs w:val="4"/>
              </w:rPr>
            </w:r>
          </w:p>
        </w:tc>
        <w:tc>
          <w:tcPr>
            <w:tcW w:w="1124" w:type="dxa"/>
            <w:gridSpan w:val="2"/>
            <w:tcBorders/>
            <w:vAlign w:val="center"/>
          </w:tcPr>
          <w:p>
            <w:pPr>
              <w:pStyle w:val="TableContents"/>
              <w:bidi w:val="0"/>
              <w:spacing w:before="0" w:after="283"/>
              <w:jc w:val="left"/>
              <w:rPr>
                <w:sz w:val="4"/>
                <w:szCs w:val="4"/>
              </w:rPr>
            </w:pPr>
            <w:r>
              <w:rPr>
                <w:sz w:val="4"/>
                <w:szCs w:val="4"/>
              </w:rPr>
            </w:r>
          </w:p>
        </w:tc>
        <w:tc>
          <w:tcPr>
            <w:tcW w:w="1034" w:type="dxa"/>
            <w:gridSpan w:val="2"/>
            <w:tcBorders/>
            <w:vAlign w:val="center"/>
          </w:tcPr>
          <w:p>
            <w:pPr>
              <w:pStyle w:val="TableContents"/>
              <w:bidi w:val="0"/>
              <w:spacing w:before="0" w:after="283"/>
              <w:jc w:val="left"/>
              <w:rPr>
                <w:sz w:val="4"/>
                <w:szCs w:val="4"/>
              </w:rPr>
            </w:pPr>
            <w:r>
              <w:rPr>
                <w:sz w:val="4"/>
                <w:szCs w:val="4"/>
              </w:rPr>
            </w:r>
          </w:p>
        </w:tc>
        <w:tc>
          <w:tcPr>
            <w:tcW w:w="1027" w:type="dxa"/>
            <w:gridSpan w:val="2"/>
            <w:tcBorders/>
            <w:vAlign w:val="center"/>
          </w:tcPr>
          <w:p>
            <w:pPr>
              <w:pStyle w:val="TableContents"/>
              <w:bidi w:val="0"/>
              <w:spacing w:before="0" w:after="283"/>
              <w:jc w:val="left"/>
              <w:rPr>
                <w:sz w:val="4"/>
                <w:szCs w:val="4"/>
              </w:rPr>
            </w:pPr>
            <w:r>
              <w:rPr>
                <w:sz w:val="4"/>
                <w:szCs w:val="4"/>
              </w:rPr>
            </w:r>
          </w:p>
        </w:tc>
        <w:tc>
          <w:tcPr>
            <w:tcW w:w="1300" w:type="dxa"/>
            <w:gridSpan w:val="4"/>
            <w:tcBorders/>
            <w:vAlign w:val="center"/>
          </w:tcPr>
          <w:p>
            <w:pPr>
              <w:pStyle w:val="TableContents"/>
              <w:bidi w:val="0"/>
              <w:spacing w:before="0" w:after="283"/>
              <w:jc w:val="left"/>
              <w:rPr>
                <w:sz w:val="4"/>
                <w:szCs w:val="4"/>
              </w:rPr>
            </w:pPr>
            <w:r>
              <w:rPr>
                <w:sz w:val="4"/>
                <w:szCs w:val="4"/>
              </w:rPr>
            </w:r>
          </w:p>
        </w:tc>
      </w:tr>
      <w:tr>
        <w:trPr/>
        <w:tc>
          <w:tcPr>
            <w:tcW w:w="724" w:type="dxa"/>
            <w:tcBorders/>
          </w:tcPr>
          <w:p>
            <w:pPr>
              <w:pStyle w:val="TableContents"/>
              <w:bidi w:val="0"/>
              <w:spacing w:before="0" w:after="283"/>
              <w:jc w:val="left"/>
              <w:rPr/>
            </w:pPr>
            <w:r>
              <w:rPr/>
              <w:t> </w:t>
            </w:r>
            <w:r>
              <w:rPr/>
              <w:t>10.4+</w:t>
            </w:r>
          </w:p>
        </w:tc>
        <w:tc>
          <w:tcPr>
            <w:tcW w:w="311" w:type="dxa"/>
            <w:tcBorders/>
            <w:vAlign w:val="bottom"/>
          </w:tcPr>
          <w:p>
            <w:pPr>
              <w:pStyle w:val="TableContents"/>
              <w:bidi w:val="0"/>
              <w:spacing w:before="0" w:after="283"/>
              <w:jc w:val="left"/>
              <w:rPr/>
            </w:pPr>
            <w:r>
              <w:rPr/>
              <w:t>  </w:t>
            </w:r>
          </w:p>
        </w:tc>
        <w:tc>
          <w:tcPr>
            <w:tcW w:w="3894" w:type="dxa"/>
            <w:tcBorders/>
          </w:tcPr>
          <w:p>
            <w:pPr>
              <w:pStyle w:val="TableContents"/>
              <w:bidi w:val="0"/>
              <w:spacing w:before="0" w:after="283"/>
              <w:jc w:val="left"/>
              <w:rPr/>
            </w:pPr>
            <w:hyperlink r:id="rId24">
              <w:r>
                <w:rPr>
                  <w:rStyle w:val="InternetLink"/>
                </w:rPr>
                <w:t>Form of Indemnification Agreement with Executive Officers and Directors</w:t>
              </w:r>
            </w:hyperlink>
          </w:p>
        </w:tc>
        <w:tc>
          <w:tcPr>
            <w:tcW w:w="198" w:type="dxa"/>
            <w:tcBorders/>
            <w:vAlign w:val="bottom"/>
          </w:tcPr>
          <w:p>
            <w:pPr>
              <w:pStyle w:val="TableContents"/>
              <w:bidi w:val="0"/>
              <w:spacing w:before="0" w:after="283"/>
              <w:jc w:val="left"/>
              <w:rPr/>
            </w:pPr>
            <w:r>
              <w:rPr/>
              <w:t>  </w:t>
            </w:r>
          </w:p>
        </w:tc>
        <w:tc>
          <w:tcPr>
            <w:tcW w:w="593" w:type="dxa"/>
            <w:tcBorders/>
          </w:tcPr>
          <w:p>
            <w:pPr>
              <w:pStyle w:val="TableContents"/>
              <w:bidi w:val="0"/>
              <w:spacing w:before="0" w:after="283"/>
              <w:jc w:val="center"/>
              <w:rPr/>
            </w:pPr>
            <w:r>
              <w:rPr/>
              <w:t>S-1</w:t>
            </w:r>
          </w:p>
        </w:tc>
        <w:tc>
          <w:tcPr>
            <w:tcW w:w="198" w:type="dxa"/>
            <w:tcBorders/>
            <w:vAlign w:val="bottom"/>
          </w:tcPr>
          <w:p>
            <w:pPr>
              <w:pStyle w:val="TableContents"/>
              <w:bidi w:val="0"/>
              <w:spacing w:before="0" w:after="283"/>
              <w:jc w:val="left"/>
              <w:rPr/>
            </w:pPr>
            <w:r>
              <w:rPr/>
              <w:t>  </w:t>
            </w:r>
          </w:p>
        </w:tc>
        <w:tc>
          <w:tcPr>
            <w:tcW w:w="926" w:type="dxa"/>
            <w:tcBorders/>
          </w:tcPr>
          <w:p>
            <w:pPr>
              <w:pStyle w:val="TableContents"/>
              <w:bidi w:val="0"/>
              <w:spacing w:before="0" w:after="283"/>
              <w:jc w:val="center"/>
              <w:rPr/>
            </w:pPr>
            <w:r>
              <w:rPr/>
              <w:t>333-290400</w:t>
            </w:r>
          </w:p>
        </w:tc>
        <w:tc>
          <w:tcPr>
            <w:tcW w:w="198" w:type="dxa"/>
            <w:tcBorders/>
            <w:vAlign w:val="bottom"/>
          </w:tcPr>
          <w:p>
            <w:pPr>
              <w:pStyle w:val="TableContents"/>
              <w:bidi w:val="0"/>
              <w:spacing w:before="0" w:after="283"/>
              <w:jc w:val="left"/>
              <w:rPr/>
            </w:pPr>
            <w:r>
              <w:rPr/>
              <w:t>  </w:t>
            </w:r>
          </w:p>
        </w:tc>
        <w:tc>
          <w:tcPr>
            <w:tcW w:w="836" w:type="dxa"/>
            <w:tcBorders/>
          </w:tcPr>
          <w:p>
            <w:pPr>
              <w:pStyle w:val="TableContents"/>
              <w:bidi w:val="0"/>
              <w:spacing w:before="0" w:after="283"/>
              <w:jc w:val="center"/>
              <w:rPr/>
            </w:pPr>
            <w:r>
              <w:rPr/>
              <w:t>10.4</w:t>
            </w:r>
          </w:p>
        </w:tc>
        <w:tc>
          <w:tcPr>
            <w:tcW w:w="198" w:type="dxa"/>
            <w:tcBorders/>
            <w:vAlign w:val="bottom"/>
          </w:tcPr>
          <w:p>
            <w:pPr>
              <w:pStyle w:val="TableContents"/>
              <w:bidi w:val="0"/>
              <w:spacing w:before="0" w:after="283"/>
              <w:jc w:val="left"/>
              <w:rPr/>
            </w:pPr>
            <w:r>
              <w:rPr/>
              <w:t>  </w:t>
            </w:r>
          </w:p>
        </w:tc>
        <w:tc>
          <w:tcPr>
            <w:tcW w:w="829" w:type="dxa"/>
            <w:tcBorders/>
          </w:tcPr>
          <w:p>
            <w:pPr>
              <w:pStyle w:val="TableContents"/>
              <w:bidi w:val="0"/>
              <w:spacing w:before="0" w:after="283"/>
              <w:jc w:val="center"/>
              <w:rPr/>
            </w:pPr>
            <w:r>
              <w:rPr/>
              <w:t>9/19/2025</w:t>
            </w:r>
          </w:p>
        </w:tc>
        <w:tc>
          <w:tcPr>
            <w:tcW w:w="197"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left"/>
              <w:rPr>
                <w:sz w:val="4"/>
                <w:szCs w:val="4"/>
              </w:rPr>
            </w:pPr>
            <w:r>
              <w:rPr>
                <w:sz w:val="4"/>
                <w:szCs w:val="4"/>
              </w:rPr>
            </w:r>
          </w:p>
        </w:tc>
        <w:tc>
          <w:tcPr>
            <w:tcW w:w="516"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724" w:type="dxa"/>
            <w:tcBorders/>
            <w:vAlign w:val="center"/>
          </w:tcPr>
          <w:p>
            <w:pPr>
              <w:pStyle w:val="TableContents"/>
              <w:bidi w:val="0"/>
              <w:spacing w:before="0" w:after="283"/>
              <w:jc w:val="left"/>
              <w:rPr>
                <w:sz w:val="4"/>
                <w:szCs w:val="4"/>
              </w:rPr>
            </w:pPr>
            <w:r>
              <w:rPr>
                <w:sz w:val="4"/>
                <w:szCs w:val="4"/>
              </w:rPr>
            </w:r>
          </w:p>
        </w:tc>
        <w:tc>
          <w:tcPr>
            <w:tcW w:w="4205" w:type="dxa"/>
            <w:gridSpan w:val="2"/>
            <w:tcBorders/>
            <w:vAlign w:val="center"/>
          </w:tcPr>
          <w:p>
            <w:pPr>
              <w:pStyle w:val="TableContents"/>
              <w:bidi w:val="0"/>
              <w:spacing w:before="0" w:after="283"/>
              <w:jc w:val="left"/>
              <w:rPr>
                <w:sz w:val="4"/>
                <w:szCs w:val="4"/>
              </w:rPr>
            </w:pPr>
            <w:r>
              <w:rPr>
                <w:sz w:val="4"/>
                <w:szCs w:val="4"/>
              </w:rPr>
            </w:r>
          </w:p>
        </w:tc>
        <w:tc>
          <w:tcPr>
            <w:tcW w:w="791" w:type="dxa"/>
            <w:gridSpan w:val="2"/>
            <w:tcBorders/>
            <w:vAlign w:val="center"/>
          </w:tcPr>
          <w:p>
            <w:pPr>
              <w:pStyle w:val="TableContents"/>
              <w:bidi w:val="0"/>
              <w:spacing w:before="0" w:after="283"/>
              <w:jc w:val="left"/>
              <w:rPr>
                <w:sz w:val="4"/>
                <w:szCs w:val="4"/>
              </w:rPr>
            </w:pPr>
            <w:r>
              <w:rPr>
                <w:sz w:val="4"/>
                <w:szCs w:val="4"/>
              </w:rPr>
            </w:r>
          </w:p>
        </w:tc>
        <w:tc>
          <w:tcPr>
            <w:tcW w:w="1124" w:type="dxa"/>
            <w:gridSpan w:val="2"/>
            <w:tcBorders/>
            <w:vAlign w:val="center"/>
          </w:tcPr>
          <w:p>
            <w:pPr>
              <w:pStyle w:val="TableContents"/>
              <w:bidi w:val="0"/>
              <w:spacing w:before="0" w:after="283"/>
              <w:jc w:val="left"/>
              <w:rPr>
                <w:sz w:val="4"/>
                <w:szCs w:val="4"/>
              </w:rPr>
            </w:pPr>
            <w:r>
              <w:rPr>
                <w:sz w:val="4"/>
                <w:szCs w:val="4"/>
              </w:rPr>
            </w:r>
          </w:p>
        </w:tc>
        <w:tc>
          <w:tcPr>
            <w:tcW w:w="1034" w:type="dxa"/>
            <w:gridSpan w:val="2"/>
            <w:tcBorders/>
            <w:vAlign w:val="center"/>
          </w:tcPr>
          <w:p>
            <w:pPr>
              <w:pStyle w:val="TableContents"/>
              <w:bidi w:val="0"/>
              <w:spacing w:before="0" w:after="283"/>
              <w:jc w:val="left"/>
              <w:rPr>
                <w:sz w:val="4"/>
                <w:szCs w:val="4"/>
              </w:rPr>
            </w:pPr>
            <w:r>
              <w:rPr>
                <w:sz w:val="4"/>
                <w:szCs w:val="4"/>
              </w:rPr>
            </w:r>
          </w:p>
        </w:tc>
        <w:tc>
          <w:tcPr>
            <w:tcW w:w="1027" w:type="dxa"/>
            <w:gridSpan w:val="2"/>
            <w:tcBorders/>
            <w:vAlign w:val="center"/>
          </w:tcPr>
          <w:p>
            <w:pPr>
              <w:pStyle w:val="TableContents"/>
              <w:bidi w:val="0"/>
              <w:spacing w:before="0" w:after="283"/>
              <w:jc w:val="left"/>
              <w:rPr>
                <w:sz w:val="4"/>
                <w:szCs w:val="4"/>
              </w:rPr>
            </w:pPr>
            <w:r>
              <w:rPr>
                <w:sz w:val="4"/>
                <w:szCs w:val="4"/>
              </w:rPr>
            </w:r>
          </w:p>
        </w:tc>
        <w:tc>
          <w:tcPr>
            <w:tcW w:w="1300" w:type="dxa"/>
            <w:gridSpan w:val="4"/>
            <w:tcBorders/>
            <w:vAlign w:val="center"/>
          </w:tcPr>
          <w:p>
            <w:pPr>
              <w:pStyle w:val="TableContents"/>
              <w:bidi w:val="0"/>
              <w:spacing w:before="0" w:after="283"/>
              <w:jc w:val="left"/>
              <w:rPr>
                <w:sz w:val="4"/>
                <w:szCs w:val="4"/>
              </w:rPr>
            </w:pPr>
            <w:r>
              <w:rPr>
                <w:sz w:val="4"/>
                <w:szCs w:val="4"/>
              </w:rPr>
            </w:r>
          </w:p>
        </w:tc>
      </w:tr>
      <w:tr>
        <w:trPr/>
        <w:tc>
          <w:tcPr>
            <w:tcW w:w="724" w:type="dxa"/>
            <w:tcBorders/>
          </w:tcPr>
          <w:p>
            <w:pPr>
              <w:pStyle w:val="TableContents"/>
              <w:bidi w:val="0"/>
              <w:spacing w:before="0" w:after="283"/>
              <w:jc w:val="left"/>
              <w:rPr/>
            </w:pPr>
            <w:r>
              <w:rPr/>
              <w:t> </w:t>
            </w:r>
            <w:r>
              <w:rPr/>
              <w:t>10.5+</w:t>
            </w:r>
          </w:p>
        </w:tc>
        <w:tc>
          <w:tcPr>
            <w:tcW w:w="311" w:type="dxa"/>
            <w:tcBorders/>
            <w:vAlign w:val="bottom"/>
          </w:tcPr>
          <w:p>
            <w:pPr>
              <w:pStyle w:val="TableContents"/>
              <w:bidi w:val="0"/>
              <w:spacing w:before="0" w:after="283"/>
              <w:jc w:val="left"/>
              <w:rPr/>
            </w:pPr>
            <w:r>
              <w:rPr/>
              <w:t>  </w:t>
            </w:r>
          </w:p>
        </w:tc>
        <w:tc>
          <w:tcPr>
            <w:tcW w:w="3894" w:type="dxa"/>
            <w:tcBorders/>
          </w:tcPr>
          <w:p>
            <w:pPr>
              <w:pStyle w:val="TableContents"/>
              <w:bidi w:val="0"/>
              <w:spacing w:before="0" w:after="283"/>
              <w:jc w:val="left"/>
              <w:rPr/>
            </w:pPr>
            <w:hyperlink r:id="rId25">
              <w:r>
                <w:rPr>
                  <w:rStyle w:val="InternetLink"/>
                </w:rPr>
                <w:t>Confirmatory Offer Letter Agreement by and between the Registrant and Christopher A. Kroeger, M.D.</w:t>
              </w:r>
            </w:hyperlink>
          </w:p>
        </w:tc>
        <w:tc>
          <w:tcPr>
            <w:tcW w:w="198" w:type="dxa"/>
            <w:tcBorders/>
            <w:vAlign w:val="bottom"/>
          </w:tcPr>
          <w:p>
            <w:pPr>
              <w:pStyle w:val="TableContents"/>
              <w:bidi w:val="0"/>
              <w:spacing w:before="0" w:after="283"/>
              <w:jc w:val="left"/>
              <w:rPr/>
            </w:pPr>
            <w:r>
              <w:rPr/>
              <w:t>  </w:t>
            </w:r>
          </w:p>
        </w:tc>
        <w:tc>
          <w:tcPr>
            <w:tcW w:w="593" w:type="dxa"/>
            <w:tcBorders/>
          </w:tcPr>
          <w:p>
            <w:pPr>
              <w:pStyle w:val="TableContents"/>
              <w:bidi w:val="0"/>
              <w:spacing w:before="0" w:after="283"/>
              <w:jc w:val="center"/>
              <w:rPr/>
            </w:pPr>
            <w:r>
              <w:rPr/>
              <w:t>10-Q</w:t>
            </w:r>
          </w:p>
        </w:tc>
        <w:tc>
          <w:tcPr>
            <w:tcW w:w="198" w:type="dxa"/>
            <w:tcBorders/>
            <w:vAlign w:val="bottom"/>
          </w:tcPr>
          <w:p>
            <w:pPr>
              <w:pStyle w:val="TableContents"/>
              <w:bidi w:val="0"/>
              <w:spacing w:before="0" w:after="283"/>
              <w:jc w:val="left"/>
              <w:rPr/>
            </w:pPr>
            <w:r>
              <w:rPr/>
              <w:t>  </w:t>
            </w:r>
          </w:p>
        </w:tc>
        <w:tc>
          <w:tcPr>
            <w:tcW w:w="926" w:type="dxa"/>
            <w:tcBorders/>
          </w:tcPr>
          <w:p>
            <w:pPr>
              <w:pStyle w:val="TableContents"/>
              <w:bidi w:val="0"/>
              <w:spacing w:before="0" w:after="283"/>
              <w:jc w:val="center"/>
              <w:rPr/>
            </w:pPr>
            <w:r>
              <w:rPr/>
              <w:t>001-42914</w:t>
            </w:r>
          </w:p>
        </w:tc>
        <w:tc>
          <w:tcPr>
            <w:tcW w:w="198" w:type="dxa"/>
            <w:tcBorders/>
            <w:vAlign w:val="bottom"/>
          </w:tcPr>
          <w:p>
            <w:pPr>
              <w:pStyle w:val="TableContents"/>
              <w:bidi w:val="0"/>
              <w:spacing w:before="0" w:after="283"/>
              <w:jc w:val="left"/>
              <w:rPr/>
            </w:pPr>
            <w:r>
              <w:rPr/>
              <w:t>  </w:t>
            </w:r>
          </w:p>
        </w:tc>
        <w:tc>
          <w:tcPr>
            <w:tcW w:w="836" w:type="dxa"/>
            <w:tcBorders/>
          </w:tcPr>
          <w:p>
            <w:pPr>
              <w:pStyle w:val="TableContents"/>
              <w:bidi w:val="0"/>
              <w:spacing w:before="0" w:after="283"/>
              <w:jc w:val="center"/>
              <w:rPr/>
            </w:pPr>
            <w:r>
              <w:rPr/>
              <w:t>10.5</w:t>
            </w:r>
          </w:p>
        </w:tc>
        <w:tc>
          <w:tcPr>
            <w:tcW w:w="198" w:type="dxa"/>
            <w:tcBorders/>
            <w:vAlign w:val="bottom"/>
          </w:tcPr>
          <w:p>
            <w:pPr>
              <w:pStyle w:val="TableContents"/>
              <w:bidi w:val="0"/>
              <w:spacing w:before="0" w:after="283"/>
              <w:jc w:val="left"/>
              <w:rPr/>
            </w:pPr>
            <w:r>
              <w:rPr/>
              <w:t>  </w:t>
            </w:r>
          </w:p>
        </w:tc>
        <w:tc>
          <w:tcPr>
            <w:tcW w:w="829" w:type="dxa"/>
            <w:tcBorders/>
          </w:tcPr>
          <w:p>
            <w:pPr>
              <w:pStyle w:val="TableContents"/>
              <w:bidi w:val="0"/>
              <w:spacing w:before="0" w:after="283"/>
              <w:jc w:val="center"/>
              <w:rPr/>
            </w:pPr>
            <w:r>
              <w:rPr/>
              <w:t>12/4/2025</w:t>
            </w:r>
          </w:p>
        </w:tc>
        <w:tc>
          <w:tcPr>
            <w:tcW w:w="197"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left"/>
              <w:rPr>
                <w:sz w:val="4"/>
                <w:szCs w:val="4"/>
              </w:rPr>
            </w:pPr>
            <w:r>
              <w:rPr>
                <w:sz w:val="4"/>
                <w:szCs w:val="4"/>
              </w:rPr>
            </w:r>
          </w:p>
        </w:tc>
        <w:tc>
          <w:tcPr>
            <w:tcW w:w="516"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724" w:type="dxa"/>
            <w:tcBorders/>
            <w:vAlign w:val="center"/>
          </w:tcPr>
          <w:p>
            <w:pPr>
              <w:pStyle w:val="TableContents"/>
              <w:bidi w:val="0"/>
              <w:spacing w:before="0" w:after="283"/>
              <w:jc w:val="left"/>
              <w:rPr>
                <w:sz w:val="4"/>
                <w:szCs w:val="4"/>
              </w:rPr>
            </w:pPr>
            <w:r>
              <w:rPr>
                <w:sz w:val="4"/>
                <w:szCs w:val="4"/>
              </w:rPr>
            </w:r>
          </w:p>
        </w:tc>
        <w:tc>
          <w:tcPr>
            <w:tcW w:w="4205" w:type="dxa"/>
            <w:gridSpan w:val="2"/>
            <w:tcBorders/>
            <w:vAlign w:val="center"/>
          </w:tcPr>
          <w:p>
            <w:pPr>
              <w:pStyle w:val="TableContents"/>
              <w:bidi w:val="0"/>
              <w:spacing w:before="0" w:after="283"/>
              <w:jc w:val="left"/>
              <w:rPr>
                <w:sz w:val="4"/>
                <w:szCs w:val="4"/>
              </w:rPr>
            </w:pPr>
            <w:r>
              <w:rPr>
                <w:sz w:val="4"/>
                <w:szCs w:val="4"/>
              </w:rPr>
            </w:r>
          </w:p>
        </w:tc>
        <w:tc>
          <w:tcPr>
            <w:tcW w:w="791" w:type="dxa"/>
            <w:gridSpan w:val="2"/>
            <w:tcBorders/>
            <w:vAlign w:val="center"/>
          </w:tcPr>
          <w:p>
            <w:pPr>
              <w:pStyle w:val="TableContents"/>
              <w:bidi w:val="0"/>
              <w:spacing w:before="0" w:after="283"/>
              <w:jc w:val="left"/>
              <w:rPr>
                <w:sz w:val="4"/>
                <w:szCs w:val="4"/>
              </w:rPr>
            </w:pPr>
            <w:r>
              <w:rPr>
                <w:sz w:val="4"/>
                <w:szCs w:val="4"/>
              </w:rPr>
            </w:r>
          </w:p>
        </w:tc>
        <w:tc>
          <w:tcPr>
            <w:tcW w:w="1124" w:type="dxa"/>
            <w:gridSpan w:val="2"/>
            <w:tcBorders/>
            <w:vAlign w:val="center"/>
          </w:tcPr>
          <w:p>
            <w:pPr>
              <w:pStyle w:val="TableContents"/>
              <w:bidi w:val="0"/>
              <w:spacing w:before="0" w:after="283"/>
              <w:jc w:val="left"/>
              <w:rPr>
                <w:sz w:val="4"/>
                <w:szCs w:val="4"/>
              </w:rPr>
            </w:pPr>
            <w:r>
              <w:rPr>
                <w:sz w:val="4"/>
                <w:szCs w:val="4"/>
              </w:rPr>
            </w:r>
          </w:p>
        </w:tc>
        <w:tc>
          <w:tcPr>
            <w:tcW w:w="1034" w:type="dxa"/>
            <w:gridSpan w:val="2"/>
            <w:tcBorders/>
            <w:vAlign w:val="center"/>
          </w:tcPr>
          <w:p>
            <w:pPr>
              <w:pStyle w:val="TableContents"/>
              <w:bidi w:val="0"/>
              <w:spacing w:before="0" w:after="283"/>
              <w:jc w:val="left"/>
              <w:rPr>
                <w:sz w:val="4"/>
                <w:szCs w:val="4"/>
              </w:rPr>
            </w:pPr>
            <w:r>
              <w:rPr>
                <w:sz w:val="4"/>
                <w:szCs w:val="4"/>
              </w:rPr>
            </w:r>
          </w:p>
        </w:tc>
        <w:tc>
          <w:tcPr>
            <w:tcW w:w="1027" w:type="dxa"/>
            <w:gridSpan w:val="2"/>
            <w:tcBorders/>
            <w:vAlign w:val="center"/>
          </w:tcPr>
          <w:p>
            <w:pPr>
              <w:pStyle w:val="TableContents"/>
              <w:bidi w:val="0"/>
              <w:spacing w:before="0" w:after="283"/>
              <w:jc w:val="left"/>
              <w:rPr>
                <w:sz w:val="4"/>
                <w:szCs w:val="4"/>
              </w:rPr>
            </w:pPr>
            <w:r>
              <w:rPr>
                <w:sz w:val="4"/>
                <w:szCs w:val="4"/>
              </w:rPr>
            </w:r>
          </w:p>
        </w:tc>
        <w:tc>
          <w:tcPr>
            <w:tcW w:w="1300" w:type="dxa"/>
            <w:gridSpan w:val="4"/>
            <w:tcBorders/>
            <w:vAlign w:val="center"/>
          </w:tcPr>
          <w:p>
            <w:pPr>
              <w:pStyle w:val="TableContents"/>
              <w:bidi w:val="0"/>
              <w:spacing w:before="0" w:after="283"/>
              <w:jc w:val="left"/>
              <w:rPr>
                <w:sz w:val="4"/>
                <w:szCs w:val="4"/>
              </w:rPr>
            </w:pPr>
            <w:r>
              <w:rPr>
                <w:sz w:val="4"/>
                <w:szCs w:val="4"/>
              </w:rPr>
            </w:r>
          </w:p>
        </w:tc>
      </w:tr>
      <w:tr>
        <w:trPr/>
        <w:tc>
          <w:tcPr>
            <w:tcW w:w="724" w:type="dxa"/>
            <w:tcBorders/>
          </w:tcPr>
          <w:p>
            <w:pPr>
              <w:pStyle w:val="TableContents"/>
              <w:bidi w:val="0"/>
              <w:spacing w:before="0" w:after="283"/>
              <w:jc w:val="left"/>
              <w:rPr/>
            </w:pPr>
            <w:r>
              <w:rPr/>
              <w:t> </w:t>
            </w:r>
            <w:r>
              <w:rPr/>
              <w:t>10.6+</w:t>
            </w:r>
          </w:p>
        </w:tc>
        <w:tc>
          <w:tcPr>
            <w:tcW w:w="311" w:type="dxa"/>
            <w:tcBorders/>
            <w:vAlign w:val="bottom"/>
          </w:tcPr>
          <w:p>
            <w:pPr>
              <w:pStyle w:val="TableContents"/>
              <w:bidi w:val="0"/>
              <w:spacing w:before="0" w:after="283"/>
              <w:jc w:val="left"/>
              <w:rPr/>
            </w:pPr>
            <w:r>
              <w:rPr/>
              <w:t>  </w:t>
            </w:r>
          </w:p>
        </w:tc>
        <w:tc>
          <w:tcPr>
            <w:tcW w:w="3894" w:type="dxa"/>
            <w:tcBorders/>
          </w:tcPr>
          <w:p>
            <w:pPr>
              <w:pStyle w:val="TableContents"/>
              <w:bidi w:val="0"/>
              <w:spacing w:before="0" w:after="283"/>
              <w:jc w:val="left"/>
              <w:rPr/>
            </w:pPr>
            <w:hyperlink r:id="rId26">
              <w:r>
                <w:rPr>
                  <w:rStyle w:val="InternetLink"/>
                </w:rPr>
                <w:t xml:space="preserve">Confirmatory Offer Letter Agreement by and between the Registrant and Erin Pennock Foff, M.D., Ph.D. </w:t>
              </w:r>
            </w:hyperlink>
          </w:p>
        </w:tc>
        <w:tc>
          <w:tcPr>
            <w:tcW w:w="198" w:type="dxa"/>
            <w:tcBorders/>
            <w:vAlign w:val="bottom"/>
          </w:tcPr>
          <w:p>
            <w:pPr>
              <w:pStyle w:val="TableContents"/>
              <w:bidi w:val="0"/>
              <w:spacing w:before="0" w:after="283"/>
              <w:jc w:val="left"/>
              <w:rPr/>
            </w:pPr>
            <w:r>
              <w:rPr/>
              <w:t>  </w:t>
            </w:r>
          </w:p>
        </w:tc>
        <w:tc>
          <w:tcPr>
            <w:tcW w:w="593" w:type="dxa"/>
            <w:tcBorders/>
          </w:tcPr>
          <w:p>
            <w:pPr>
              <w:pStyle w:val="TableContents"/>
              <w:bidi w:val="0"/>
              <w:spacing w:before="0" w:after="283"/>
              <w:jc w:val="center"/>
              <w:rPr/>
            </w:pPr>
            <w:r>
              <w:rPr/>
              <w:t>10-Q</w:t>
            </w:r>
          </w:p>
        </w:tc>
        <w:tc>
          <w:tcPr>
            <w:tcW w:w="198" w:type="dxa"/>
            <w:tcBorders/>
            <w:vAlign w:val="bottom"/>
          </w:tcPr>
          <w:p>
            <w:pPr>
              <w:pStyle w:val="TableContents"/>
              <w:bidi w:val="0"/>
              <w:spacing w:before="0" w:after="283"/>
              <w:jc w:val="left"/>
              <w:rPr/>
            </w:pPr>
            <w:r>
              <w:rPr/>
              <w:t>  </w:t>
            </w:r>
          </w:p>
        </w:tc>
        <w:tc>
          <w:tcPr>
            <w:tcW w:w="926" w:type="dxa"/>
            <w:tcBorders/>
          </w:tcPr>
          <w:p>
            <w:pPr>
              <w:pStyle w:val="TableContents"/>
              <w:bidi w:val="0"/>
              <w:spacing w:before="0" w:after="283"/>
              <w:jc w:val="center"/>
              <w:rPr/>
            </w:pPr>
            <w:r>
              <w:rPr/>
              <w:t>001-42914</w:t>
            </w:r>
          </w:p>
        </w:tc>
        <w:tc>
          <w:tcPr>
            <w:tcW w:w="198" w:type="dxa"/>
            <w:tcBorders/>
            <w:vAlign w:val="bottom"/>
          </w:tcPr>
          <w:p>
            <w:pPr>
              <w:pStyle w:val="TableContents"/>
              <w:bidi w:val="0"/>
              <w:spacing w:before="0" w:after="283"/>
              <w:jc w:val="left"/>
              <w:rPr/>
            </w:pPr>
            <w:r>
              <w:rPr/>
              <w:t>  </w:t>
            </w:r>
          </w:p>
        </w:tc>
        <w:tc>
          <w:tcPr>
            <w:tcW w:w="836" w:type="dxa"/>
            <w:tcBorders/>
          </w:tcPr>
          <w:p>
            <w:pPr>
              <w:pStyle w:val="TableContents"/>
              <w:bidi w:val="0"/>
              <w:spacing w:before="0" w:after="283"/>
              <w:jc w:val="center"/>
              <w:rPr/>
            </w:pPr>
            <w:r>
              <w:rPr/>
              <w:t>10.7</w:t>
            </w:r>
          </w:p>
        </w:tc>
        <w:tc>
          <w:tcPr>
            <w:tcW w:w="198" w:type="dxa"/>
            <w:tcBorders/>
            <w:vAlign w:val="bottom"/>
          </w:tcPr>
          <w:p>
            <w:pPr>
              <w:pStyle w:val="TableContents"/>
              <w:bidi w:val="0"/>
              <w:spacing w:before="0" w:after="283"/>
              <w:jc w:val="left"/>
              <w:rPr/>
            </w:pPr>
            <w:r>
              <w:rPr/>
              <w:t>  </w:t>
            </w:r>
          </w:p>
        </w:tc>
        <w:tc>
          <w:tcPr>
            <w:tcW w:w="829" w:type="dxa"/>
            <w:tcBorders/>
          </w:tcPr>
          <w:p>
            <w:pPr>
              <w:pStyle w:val="TableContents"/>
              <w:bidi w:val="0"/>
              <w:spacing w:before="0" w:after="283"/>
              <w:jc w:val="center"/>
              <w:rPr/>
            </w:pPr>
            <w:r>
              <w:rPr/>
              <w:t>12/4/2025</w:t>
            </w:r>
          </w:p>
        </w:tc>
        <w:tc>
          <w:tcPr>
            <w:tcW w:w="197"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left"/>
              <w:rPr>
                <w:sz w:val="4"/>
                <w:szCs w:val="4"/>
              </w:rPr>
            </w:pPr>
            <w:r>
              <w:rPr>
                <w:sz w:val="4"/>
                <w:szCs w:val="4"/>
              </w:rPr>
            </w:r>
          </w:p>
        </w:tc>
        <w:tc>
          <w:tcPr>
            <w:tcW w:w="516"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724" w:type="dxa"/>
            <w:tcBorders/>
            <w:vAlign w:val="center"/>
          </w:tcPr>
          <w:p>
            <w:pPr>
              <w:pStyle w:val="TableContents"/>
              <w:bidi w:val="0"/>
              <w:spacing w:before="0" w:after="283"/>
              <w:jc w:val="left"/>
              <w:rPr>
                <w:sz w:val="4"/>
                <w:szCs w:val="4"/>
              </w:rPr>
            </w:pPr>
            <w:r>
              <w:rPr>
                <w:sz w:val="4"/>
                <w:szCs w:val="4"/>
              </w:rPr>
            </w:r>
          </w:p>
        </w:tc>
        <w:tc>
          <w:tcPr>
            <w:tcW w:w="4205" w:type="dxa"/>
            <w:gridSpan w:val="2"/>
            <w:tcBorders/>
            <w:vAlign w:val="center"/>
          </w:tcPr>
          <w:p>
            <w:pPr>
              <w:pStyle w:val="TableContents"/>
              <w:bidi w:val="0"/>
              <w:spacing w:before="0" w:after="283"/>
              <w:jc w:val="left"/>
              <w:rPr>
                <w:sz w:val="4"/>
                <w:szCs w:val="4"/>
              </w:rPr>
            </w:pPr>
            <w:r>
              <w:rPr>
                <w:sz w:val="4"/>
                <w:szCs w:val="4"/>
              </w:rPr>
            </w:r>
          </w:p>
        </w:tc>
        <w:tc>
          <w:tcPr>
            <w:tcW w:w="791" w:type="dxa"/>
            <w:gridSpan w:val="2"/>
            <w:tcBorders/>
            <w:vAlign w:val="center"/>
          </w:tcPr>
          <w:p>
            <w:pPr>
              <w:pStyle w:val="TableContents"/>
              <w:bidi w:val="0"/>
              <w:spacing w:before="0" w:after="283"/>
              <w:jc w:val="left"/>
              <w:rPr>
                <w:sz w:val="4"/>
                <w:szCs w:val="4"/>
              </w:rPr>
            </w:pPr>
            <w:r>
              <w:rPr>
                <w:sz w:val="4"/>
                <w:szCs w:val="4"/>
              </w:rPr>
            </w:r>
          </w:p>
        </w:tc>
        <w:tc>
          <w:tcPr>
            <w:tcW w:w="1124" w:type="dxa"/>
            <w:gridSpan w:val="2"/>
            <w:tcBorders/>
            <w:vAlign w:val="center"/>
          </w:tcPr>
          <w:p>
            <w:pPr>
              <w:pStyle w:val="TableContents"/>
              <w:bidi w:val="0"/>
              <w:spacing w:before="0" w:after="283"/>
              <w:jc w:val="left"/>
              <w:rPr>
                <w:sz w:val="4"/>
                <w:szCs w:val="4"/>
              </w:rPr>
            </w:pPr>
            <w:r>
              <w:rPr>
                <w:sz w:val="4"/>
                <w:szCs w:val="4"/>
              </w:rPr>
            </w:r>
          </w:p>
        </w:tc>
        <w:tc>
          <w:tcPr>
            <w:tcW w:w="1034" w:type="dxa"/>
            <w:gridSpan w:val="2"/>
            <w:tcBorders/>
            <w:vAlign w:val="center"/>
          </w:tcPr>
          <w:p>
            <w:pPr>
              <w:pStyle w:val="TableContents"/>
              <w:bidi w:val="0"/>
              <w:spacing w:before="0" w:after="283"/>
              <w:jc w:val="left"/>
              <w:rPr>
                <w:sz w:val="4"/>
                <w:szCs w:val="4"/>
              </w:rPr>
            </w:pPr>
            <w:r>
              <w:rPr>
                <w:sz w:val="4"/>
                <w:szCs w:val="4"/>
              </w:rPr>
            </w:r>
          </w:p>
        </w:tc>
        <w:tc>
          <w:tcPr>
            <w:tcW w:w="1027" w:type="dxa"/>
            <w:gridSpan w:val="2"/>
            <w:tcBorders/>
            <w:vAlign w:val="center"/>
          </w:tcPr>
          <w:p>
            <w:pPr>
              <w:pStyle w:val="TableContents"/>
              <w:bidi w:val="0"/>
              <w:spacing w:before="0" w:after="283"/>
              <w:jc w:val="left"/>
              <w:rPr>
                <w:sz w:val="4"/>
                <w:szCs w:val="4"/>
              </w:rPr>
            </w:pPr>
            <w:r>
              <w:rPr>
                <w:sz w:val="4"/>
                <w:szCs w:val="4"/>
              </w:rPr>
            </w:r>
          </w:p>
        </w:tc>
        <w:tc>
          <w:tcPr>
            <w:tcW w:w="1300" w:type="dxa"/>
            <w:gridSpan w:val="4"/>
            <w:tcBorders/>
            <w:vAlign w:val="center"/>
          </w:tcPr>
          <w:p>
            <w:pPr>
              <w:pStyle w:val="TableContents"/>
              <w:bidi w:val="0"/>
              <w:spacing w:before="0" w:after="283"/>
              <w:jc w:val="left"/>
              <w:rPr>
                <w:sz w:val="4"/>
                <w:szCs w:val="4"/>
              </w:rPr>
            </w:pPr>
            <w:r>
              <w:rPr>
                <w:sz w:val="4"/>
                <w:szCs w:val="4"/>
              </w:rPr>
            </w:r>
          </w:p>
        </w:tc>
      </w:tr>
      <w:tr>
        <w:trPr/>
        <w:tc>
          <w:tcPr>
            <w:tcW w:w="724" w:type="dxa"/>
            <w:tcBorders/>
          </w:tcPr>
          <w:p>
            <w:pPr>
              <w:pStyle w:val="TableContents"/>
              <w:bidi w:val="0"/>
              <w:spacing w:before="0" w:after="283"/>
              <w:jc w:val="left"/>
              <w:rPr/>
            </w:pPr>
            <w:r>
              <w:rPr/>
              <w:t> </w:t>
            </w:r>
            <w:r>
              <w:rPr/>
              <w:t>10.7+</w:t>
            </w:r>
          </w:p>
        </w:tc>
        <w:tc>
          <w:tcPr>
            <w:tcW w:w="311" w:type="dxa"/>
            <w:tcBorders/>
            <w:vAlign w:val="bottom"/>
          </w:tcPr>
          <w:p>
            <w:pPr>
              <w:pStyle w:val="TableContents"/>
              <w:bidi w:val="0"/>
              <w:spacing w:before="0" w:after="283"/>
              <w:jc w:val="left"/>
              <w:rPr/>
            </w:pPr>
            <w:r>
              <w:rPr/>
              <w:t>  </w:t>
            </w:r>
          </w:p>
        </w:tc>
        <w:tc>
          <w:tcPr>
            <w:tcW w:w="3894" w:type="dxa"/>
            <w:tcBorders/>
          </w:tcPr>
          <w:p>
            <w:pPr>
              <w:pStyle w:val="TableContents"/>
              <w:bidi w:val="0"/>
              <w:spacing w:before="0" w:after="283"/>
              <w:jc w:val="left"/>
              <w:rPr/>
            </w:pPr>
            <w:hyperlink r:id="rId27">
              <w:r>
                <w:rPr>
                  <w:rStyle w:val="InternetLink"/>
                </w:rPr>
                <w:t xml:space="preserve">Release Agreement by and between the Registrant and Vishwas Setia dated June 18, 2026. </w:t>
              </w:r>
            </w:hyperlink>
          </w:p>
        </w:tc>
        <w:tc>
          <w:tcPr>
            <w:tcW w:w="198" w:type="dxa"/>
            <w:tcBorders/>
            <w:vAlign w:val="bottom"/>
          </w:tcPr>
          <w:p>
            <w:pPr>
              <w:pStyle w:val="TableContents"/>
              <w:bidi w:val="0"/>
              <w:spacing w:before="0" w:after="283"/>
              <w:jc w:val="left"/>
              <w:rPr/>
            </w:pPr>
            <w:r>
              <w:rPr/>
              <w:t>  </w:t>
            </w:r>
          </w:p>
        </w:tc>
        <w:tc>
          <w:tcPr>
            <w:tcW w:w="593" w:type="dxa"/>
            <w:tcBorders/>
          </w:tcPr>
          <w:p>
            <w:pPr>
              <w:pStyle w:val="TableContents"/>
              <w:bidi w:val="0"/>
              <w:spacing w:before="0" w:after="283"/>
              <w:jc w:val="center"/>
              <w:rPr/>
            </w:pPr>
            <w:r>
              <w:rPr/>
              <w:t>10-Q</w:t>
            </w:r>
          </w:p>
        </w:tc>
        <w:tc>
          <w:tcPr>
            <w:tcW w:w="198" w:type="dxa"/>
            <w:tcBorders/>
            <w:vAlign w:val="bottom"/>
          </w:tcPr>
          <w:p>
            <w:pPr>
              <w:pStyle w:val="TableContents"/>
              <w:bidi w:val="0"/>
              <w:spacing w:before="0" w:after="283"/>
              <w:jc w:val="left"/>
              <w:rPr/>
            </w:pPr>
            <w:r>
              <w:rPr/>
              <w:t>  </w:t>
            </w:r>
          </w:p>
        </w:tc>
        <w:tc>
          <w:tcPr>
            <w:tcW w:w="926" w:type="dxa"/>
            <w:tcBorders/>
          </w:tcPr>
          <w:p>
            <w:pPr>
              <w:pStyle w:val="TableContents"/>
              <w:bidi w:val="0"/>
              <w:spacing w:before="0" w:after="283"/>
              <w:jc w:val="center"/>
              <w:rPr/>
            </w:pPr>
            <w:r>
              <w:rPr/>
              <w:t>001-42914</w:t>
            </w:r>
          </w:p>
        </w:tc>
        <w:tc>
          <w:tcPr>
            <w:tcW w:w="198" w:type="dxa"/>
            <w:tcBorders/>
            <w:vAlign w:val="bottom"/>
          </w:tcPr>
          <w:p>
            <w:pPr>
              <w:pStyle w:val="TableContents"/>
              <w:bidi w:val="0"/>
              <w:spacing w:before="0" w:after="283"/>
              <w:jc w:val="left"/>
              <w:rPr/>
            </w:pPr>
            <w:r>
              <w:rPr/>
              <w:t>  </w:t>
            </w:r>
          </w:p>
        </w:tc>
        <w:tc>
          <w:tcPr>
            <w:tcW w:w="836" w:type="dxa"/>
            <w:tcBorders/>
          </w:tcPr>
          <w:p>
            <w:pPr>
              <w:pStyle w:val="TableContents"/>
              <w:bidi w:val="0"/>
              <w:spacing w:before="0" w:after="283"/>
              <w:jc w:val="center"/>
              <w:rPr/>
            </w:pPr>
            <w:r>
              <w:rPr/>
              <w:t>10.1</w:t>
            </w:r>
          </w:p>
        </w:tc>
        <w:tc>
          <w:tcPr>
            <w:tcW w:w="198" w:type="dxa"/>
            <w:tcBorders/>
            <w:vAlign w:val="bottom"/>
          </w:tcPr>
          <w:p>
            <w:pPr>
              <w:pStyle w:val="TableContents"/>
              <w:bidi w:val="0"/>
              <w:spacing w:before="0" w:after="283"/>
              <w:jc w:val="left"/>
              <w:rPr/>
            </w:pPr>
            <w:r>
              <w:rPr/>
              <w:t>  </w:t>
            </w:r>
          </w:p>
        </w:tc>
        <w:tc>
          <w:tcPr>
            <w:tcW w:w="829" w:type="dxa"/>
            <w:tcBorders/>
          </w:tcPr>
          <w:p>
            <w:pPr>
              <w:pStyle w:val="TableContents"/>
              <w:bidi w:val="0"/>
              <w:spacing w:before="0" w:after="283"/>
              <w:jc w:val="center"/>
              <w:rPr/>
            </w:pPr>
            <w:r>
              <w:rPr/>
              <w:t>8/13/2026</w:t>
            </w:r>
          </w:p>
        </w:tc>
        <w:tc>
          <w:tcPr>
            <w:tcW w:w="197"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left"/>
              <w:rPr>
                <w:sz w:val="4"/>
                <w:szCs w:val="4"/>
              </w:rPr>
            </w:pPr>
            <w:r>
              <w:rPr>
                <w:sz w:val="4"/>
                <w:szCs w:val="4"/>
              </w:rPr>
            </w:r>
          </w:p>
        </w:tc>
        <w:tc>
          <w:tcPr>
            <w:tcW w:w="516"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803"/>
        <w:gridCol w:w="326"/>
        <w:gridCol w:w="3873"/>
        <w:gridCol w:w="199"/>
        <w:gridCol w:w="613"/>
        <w:gridCol w:w="199"/>
        <w:gridCol w:w="957"/>
        <w:gridCol w:w="199"/>
        <w:gridCol w:w="786"/>
        <w:gridCol w:w="198"/>
        <w:gridCol w:w="875"/>
        <w:gridCol w:w="199"/>
        <w:gridCol w:w="978"/>
      </w:tblGrid>
      <w:tr>
        <w:trPr/>
        <w:tc>
          <w:tcPr>
            <w:tcW w:w="803" w:type="dxa"/>
            <w:tcBorders/>
            <w:vAlign w:val="center"/>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sz w:val="4"/>
                <w:szCs w:val="4"/>
              </w:rPr>
            </w:pPr>
            <w:r>
              <w:rPr>
                <w:sz w:val="4"/>
                <w:szCs w:val="4"/>
              </w:rPr>
            </w:r>
          </w:p>
        </w:tc>
        <w:tc>
          <w:tcPr>
            <w:tcW w:w="3873"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r>
      <w:tr>
        <w:trPr/>
        <w:tc>
          <w:tcPr>
            <w:tcW w:w="80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w:t>
              <w:br/>
              <w:t>No.</w:t>
            </w:r>
          </w:p>
        </w:tc>
        <w:tc>
          <w:tcPr>
            <w:tcW w:w="326" w:type="dxa"/>
            <w:tcBorders/>
            <w:vAlign w:val="bottom"/>
          </w:tcPr>
          <w:p>
            <w:pPr>
              <w:pStyle w:val="TableContents"/>
              <w:bidi w:val="0"/>
              <w:spacing w:before="0" w:after="283"/>
              <w:jc w:val="left"/>
              <w:rPr/>
            </w:pPr>
            <w:r>
              <w:rPr/>
              <w:t>  </w:t>
            </w:r>
          </w:p>
        </w:tc>
        <w:tc>
          <w:tcPr>
            <w:tcW w:w="387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c>
          <w:tcPr>
            <w:tcW w:w="199" w:type="dxa"/>
            <w:tcBorders/>
            <w:vAlign w:val="bottom"/>
          </w:tcPr>
          <w:p>
            <w:pPr>
              <w:pStyle w:val="TableContents"/>
              <w:bidi w:val="0"/>
              <w:spacing w:before="0" w:after="283"/>
              <w:jc w:val="left"/>
              <w:rPr/>
            </w:pPr>
            <w:r>
              <w:rPr/>
              <w:t>  </w:t>
            </w:r>
          </w:p>
        </w:tc>
        <w:tc>
          <w:tcPr>
            <w:tcW w:w="613" w:type="dxa"/>
            <w:tcBorders>
              <w:bottom w:val="single" w:sz="8" w:space="0" w:color="000000"/>
            </w:tcBorders>
            <w:tcMar>
              <w:bottom w:w="28" w:type="dxa"/>
            </w:tcMar>
            <w:vAlign w:val="bottom"/>
          </w:tcPr>
          <w:p>
            <w:pPr>
              <w:pStyle w:val="TableContents"/>
              <w:bidi w:val="0"/>
              <w:spacing w:before="0" w:after="283"/>
              <w:jc w:val="center"/>
              <w:rPr>
                <w:b/>
              </w:rPr>
            </w:pPr>
            <w:r>
              <w:rPr>
                <w:b/>
              </w:rPr>
              <w:t>Form</w:t>
            </w:r>
          </w:p>
        </w:tc>
        <w:tc>
          <w:tcPr>
            <w:tcW w:w="199" w:type="dxa"/>
            <w:tcBorders/>
            <w:vAlign w:val="bottom"/>
          </w:tcPr>
          <w:p>
            <w:pPr>
              <w:pStyle w:val="TableContents"/>
              <w:bidi w:val="0"/>
              <w:spacing w:before="0" w:after="283"/>
              <w:jc w:val="left"/>
              <w:rPr/>
            </w:pPr>
            <w:r>
              <w:rPr/>
              <w:t>  </w:t>
            </w:r>
          </w:p>
        </w:tc>
        <w:tc>
          <w:tcPr>
            <w:tcW w:w="957" w:type="dxa"/>
            <w:tcBorders>
              <w:bottom w:val="single" w:sz="8" w:space="0" w:color="000000"/>
            </w:tcBorders>
            <w:tcMar>
              <w:bottom w:w="28" w:type="dxa"/>
            </w:tcMar>
            <w:vAlign w:val="bottom"/>
          </w:tcPr>
          <w:p>
            <w:pPr>
              <w:pStyle w:val="TableContents"/>
              <w:bidi w:val="0"/>
              <w:spacing w:before="0" w:after="283"/>
              <w:jc w:val="center"/>
              <w:rPr>
                <w:b/>
              </w:rPr>
            </w:pPr>
            <w:r>
              <w:rPr>
                <w:b/>
              </w:rPr>
              <w:t>File No.</w:t>
            </w:r>
          </w:p>
        </w:tc>
        <w:tc>
          <w:tcPr>
            <w:tcW w:w="199" w:type="dxa"/>
            <w:tcBorders/>
            <w:vAlign w:val="bottom"/>
          </w:tcPr>
          <w:p>
            <w:pPr>
              <w:pStyle w:val="TableContents"/>
              <w:bidi w:val="0"/>
              <w:spacing w:before="0" w:after="283"/>
              <w:jc w:val="left"/>
              <w:rPr/>
            </w:pPr>
            <w:r>
              <w:rPr/>
              <w:t>  </w:t>
            </w:r>
          </w:p>
        </w:tc>
        <w:tc>
          <w:tcPr>
            <w:tcW w:w="786" w:type="dxa"/>
            <w:tcBorders>
              <w:bottom w:val="single" w:sz="8" w:space="0" w:color="000000"/>
            </w:tcBorders>
            <w:tcMar>
              <w:bottom w:w="28" w:type="dxa"/>
            </w:tcMar>
            <w:vAlign w:val="bottom"/>
          </w:tcPr>
          <w:p>
            <w:pPr>
              <w:pStyle w:val="TableContents"/>
              <w:bidi w:val="0"/>
              <w:spacing w:before="0" w:after="283"/>
              <w:jc w:val="center"/>
              <w:rPr>
                <w:b/>
              </w:rPr>
            </w:pPr>
            <w:r>
              <w:rPr>
                <w:b/>
              </w:rPr>
              <w:t>Exhibit</w:t>
            </w:r>
          </w:p>
        </w:tc>
        <w:tc>
          <w:tcPr>
            <w:tcW w:w="198" w:type="dxa"/>
            <w:tcBorders/>
            <w:vAlign w:val="bottom"/>
          </w:tcPr>
          <w:p>
            <w:pPr>
              <w:pStyle w:val="TableContents"/>
              <w:bidi w:val="0"/>
              <w:spacing w:before="0" w:after="283"/>
              <w:jc w:val="left"/>
              <w:rPr/>
            </w:pPr>
            <w:r>
              <w:rPr/>
              <w:t>  </w:t>
            </w:r>
          </w:p>
        </w:tc>
        <w:tc>
          <w:tcPr>
            <w:tcW w:w="875" w:type="dxa"/>
            <w:tcBorders>
              <w:bottom w:val="single" w:sz="8" w:space="0" w:color="000000"/>
            </w:tcBorders>
            <w:tcMar>
              <w:bottom w:w="28" w:type="dxa"/>
            </w:tcMar>
            <w:vAlign w:val="bottom"/>
          </w:tcPr>
          <w:p>
            <w:pPr>
              <w:pStyle w:val="TableContents"/>
              <w:bidi w:val="0"/>
              <w:spacing w:before="0" w:after="283"/>
              <w:jc w:val="center"/>
              <w:rPr>
                <w:b/>
              </w:rPr>
            </w:pPr>
            <w:r>
              <w:rPr>
                <w:b/>
              </w:rPr>
              <w:t>Filing Date</w:t>
            </w:r>
          </w:p>
        </w:tc>
        <w:tc>
          <w:tcPr>
            <w:tcW w:w="199" w:type="dxa"/>
            <w:tcBorders/>
            <w:vAlign w:val="bottom"/>
          </w:tcPr>
          <w:p>
            <w:pPr>
              <w:pStyle w:val="TableContents"/>
              <w:bidi w:val="0"/>
              <w:spacing w:before="0" w:after="283"/>
              <w:jc w:val="left"/>
              <w:rPr/>
            </w:pPr>
            <w:r>
              <w:rPr/>
              <w:t>  </w:t>
            </w:r>
          </w:p>
        </w:tc>
        <w:tc>
          <w:tcPr>
            <w:tcW w:w="978" w:type="dxa"/>
            <w:tcBorders>
              <w:bottom w:val="single" w:sz="8" w:space="0" w:color="000000"/>
            </w:tcBorders>
            <w:tcMar>
              <w:bottom w:w="28" w:type="dxa"/>
            </w:tcMar>
            <w:vAlign w:val="bottom"/>
          </w:tcPr>
          <w:p>
            <w:pPr>
              <w:pStyle w:val="TableContents"/>
              <w:bidi w:val="0"/>
              <w:spacing w:before="0" w:after="283"/>
              <w:jc w:val="center"/>
              <w:rPr>
                <w:b/>
              </w:rPr>
            </w:pPr>
            <w:r>
              <w:rPr>
                <w:b/>
              </w:rPr>
              <w:t>Filed</w:t>
              <w:br/>
              <w:t>Herewith</w:t>
            </w:r>
          </w:p>
        </w:tc>
      </w:tr>
      <w:tr>
        <w:trPr>
          <w:trHeight w:val="120" w:hRule="atLeast"/>
        </w:trPr>
        <w:tc>
          <w:tcPr>
            <w:tcW w:w="803" w:type="dxa"/>
            <w:tcBorders/>
            <w:vAlign w:val="center"/>
          </w:tcPr>
          <w:p>
            <w:pPr>
              <w:pStyle w:val="TableContents"/>
              <w:bidi w:val="0"/>
              <w:spacing w:before="0" w:after="283"/>
              <w:jc w:val="left"/>
              <w:rPr>
                <w:sz w:val="4"/>
                <w:szCs w:val="4"/>
              </w:rPr>
            </w:pPr>
            <w:r>
              <w:rPr>
                <w:sz w:val="4"/>
                <w:szCs w:val="4"/>
              </w:rPr>
            </w:r>
          </w:p>
        </w:tc>
        <w:tc>
          <w:tcPr>
            <w:tcW w:w="4199" w:type="dxa"/>
            <w:gridSpan w:val="2"/>
            <w:tcBorders/>
            <w:vAlign w:val="center"/>
          </w:tcPr>
          <w:p>
            <w:pPr>
              <w:pStyle w:val="TableContents"/>
              <w:bidi w:val="0"/>
              <w:spacing w:before="0" w:after="283"/>
              <w:jc w:val="left"/>
              <w:rPr>
                <w:sz w:val="4"/>
                <w:szCs w:val="4"/>
              </w:rPr>
            </w:pPr>
            <w:r>
              <w:rPr>
                <w:sz w:val="4"/>
                <w:szCs w:val="4"/>
              </w:rPr>
            </w:r>
          </w:p>
        </w:tc>
        <w:tc>
          <w:tcPr>
            <w:tcW w:w="812" w:type="dxa"/>
            <w:gridSpan w:val="2"/>
            <w:tcBorders/>
            <w:vAlign w:val="center"/>
          </w:tcPr>
          <w:p>
            <w:pPr>
              <w:pStyle w:val="TableContents"/>
              <w:bidi w:val="0"/>
              <w:spacing w:before="0" w:after="283"/>
              <w:jc w:val="left"/>
              <w:rPr>
                <w:sz w:val="4"/>
                <w:szCs w:val="4"/>
              </w:rPr>
            </w:pPr>
            <w:r>
              <w:rPr>
                <w:sz w:val="4"/>
                <w:szCs w:val="4"/>
              </w:rPr>
            </w:r>
          </w:p>
        </w:tc>
        <w:tc>
          <w:tcPr>
            <w:tcW w:w="1156" w:type="dxa"/>
            <w:gridSpan w:val="2"/>
            <w:tcBorders/>
            <w:vAlign w:val="center"/>
          </w:tcPr>
          <w:p>
            <w:pPr>
              <w:pStyle w:val="TableContents"/>
              <w:bidi w:val="0"/>
              <w:spacing w:before="0" w:after="283"/>
              <w:jc w:val="left"/>
              <w:rPr>
                <w:sz w:val="4"/>
                <w:szCs w:val="4"/>
              </w:rPr>
            </w:pPr>
            <w:r>
              <w:rPr>
                <w:sz w:val="4"/>
                <w:szCs w:val="4"/>
              </w:rPr>
            </w:r>
          </w:p>
        </w:tc>
        <w:tc>
          <w:tcPr>
            <w:tcW w:w="985" w:type="dxa"/>
            <w:gridSpan w:val="2"/>
            <w:tcBorders/>
            <w:vAlign w:val="center"/>
          </w:tcPr>
          <w:p>
            <w:pPr>
              <w:pStyle w:val="TableContents"/>
              <w:bidi w:val="0"/>
              <w:spacing w:before="0" w:after="283"/>
              <w:jc w:val="left"/>
              <w:rPr>
                <w:sz w:val="4"/>
                <w:szCs w:val="4"/>
              </w:rPr>
            </w:pPr>
            <w:r>
              <w:rPr>
                <w:sz w:val="4"/>
                <w:szCs w:val="4"/>
              </w:rPr>
            </w:r>
          </w:p>
        </w:tc>
        <w:tc>
          <w:tcPr>
            <w:tcW w:w="1073" w:type="dxa"/>
            <w:gridSpan w:val="2"/>
            <w:tcBorders/>
            <w:vAlign w:val="center"/>
          </w:tcPr>
          <w:p>
            <w:pPr>
              <w:pStyle w:val="TableContents"/>
              <w:bidi w:val="0"/>
              <w:spacing w:before="0" w:after="283"/>
              <w:jc w:val="left"/>
              <w:rPr>
                <w:sz w:val="4"/>
                <w:szCs w:val="4"/>
              </w:rPr>
            </w:pPr>
            <w:r>
              <w:rPr>
                <w:sz w:val="4"/>
                <w:szCs w:val="4"/>
              </w:rPr>
            </w:r>
          </w:p>
        </w:tc>
        <w:tc>
          <w:tcPr>
            <w:tcW w:w="1177" w:type="dxa"/>
            <w:gridSpan w:val="2"/>
            <w:tcBorders/>
            <w:vAlign w:val="center"/>
          </w:tcPr>
          <w:p>
            <w:pPr>
              <w:pStyle w:val="TableContents"/>
              <w:bidi w:val="0"/>
              <w:spacing w:before="0" w:after="283"/>
              <w:jc w:val="left"/>
              <w:rPr>
                <w:sz w:val="4"/>
                <w:szCs w:val="4"/>
              </w:rPr>
            </w:pPr>
            <w:r>
              <w:rPr>
                <w:sz w:val="4"/>
                <w:szCs w:val="4"/>
              </w:rPr>
            </w:r>
          </w:p>
        </w:tc>
      </w:tr>
      <w:tr>
        <w:trPr/>
        <w:tc>
          <w:tcPr>
            <w:tcW w:w="803" w:type="dxa"/>
            <w:tcBorders/>
          </w:tcPr>
          <w:p>
            <w:pPr>
              <w:pStyle w:val="TableContents"/>
              <w:bidi w:val="0"/>
              <w:spacing w:before="0" w:after="283"/>
              <w:jc w:val="left"/>
              <w:rPr/>
            </w:pPr>
            <w:r>
              <w:rPr/>
              <w:t> </w:t>
            </w:r>
            <w:r>
              <w:rPr/>
              <w:t>10.8+</w:t>
            </w:r>
          </w:p>
        </w:tc>
        <w:tc>
          <w:tcPr>
            <w:tcW w:w="326" w:type="dxa"/>
            <w:tcBorders/>
            <w:vAlign w:val="bottom"/>
          </w:tcPr>
          <w:p>
            <w:pPr>
              <w:pStyle w:val="TableContents"/>
              <w:bidi w:val="0"/>
              <w:spacing w:before="0" w:after="283"/>
              <w:jc w:val="left"/>
              <w:rPr/>
            </w:pPr>
            <w:r>
              <w:rPr/>
              <w:t>  </w:t>
            </w:r>
          </w:p>
        </w:tc>
        <w:tc>
          <w:tcPr>
            <w:tcW w:w="3873" w:type="dxa"/>
            <w:tcBorders/>
          </w:tcPr>
          <w:p>
            <w:pPr>
              <w:pStyle w:val="TableContents"/>
              <w:bidi w:val="0"/>
              <w:spacing w:before="0" w:after="283"/>
              <w:jc w:val="left"/>
              <w:rPr/>
            </w:pPr>
            <w:hyperlink r:id="rId28">
              <w:r>
                <w:rPr>
                  <w:rStyle w:val="InternetLink"/>
                </w:rPr>
                <w:t xml:space="preserve">Severance and Change in Control Plan </w:t>
              </w:r>
            </w:hyperlink>
          </w:p>
        </w:tc>
        <w:tc>
          <w:tcPr>
            <w:tcW w:w="199" w:type="dxa"/>
            <w:tcBorders/>
            <w:vAlign w:val="bottom"/>
          </w:tcPr>
          <w:p>
            <w:pPr>
              <w:pStyle w:val="TableContents"/>
              <w:bidi w:val="0"/>
              <w:spacing w:before="0" w:after="283"/>
              <w:jc w:val="left"/>
              <w:rPr/>
            </w:pPr>
            <w:r>
              <w:rPr/>
              <w:t>  </w:t>
            </w:r>
          </w:p>
        </w:tc>
        <w:tc>
          <w:tcPr>
            <w:tcW w:w="613" w:type="dxa"/>
            <w:tcBorders/>
          </w:tcPr>
          <w:p>
            <w:pPr>
              <w:pStyle w:val="TableContents"/>
              <w:bidi w:val="0"/>
              <w:spacing w:before="0" w:after="283"/>
              <w:jc w:val="center"/>
              <w:rPr/>
            </w:pPr>
            <w:r>
              <w:rPr/>
              <w:t>S-1</w:t>
            </w:r>
          </w:p>
        </w:tc>
        <w:tc>
          <w:tcPr>
            <w:tcW w:w="199" w:type="dxa"/>
            <w:tcBorders/>
            <w:vAlign w:val="bottom"/>
          </w:tcPr>
          <w:p>
            <w:pPr>
              <w:pStyle w:val="TableContents"/>
              <w:bidi w:val="0"/>
              <w:spacing w:before="0" w:after="283"/>
              <w:jc w:val="left"/>
              <w:rPr/>
            </w:pPr>
            <w:r>
              <w:rPr/>
              <w:t>  </w:t>
            </w:r>
          </w:p>
        </w:tc>
        <w:tc>
          <w:tcPr>
            <w:tcW w:w="957" w:type="dxa"/>
            <w:tcBorders/>
          </w:tcPr>
          <w:p>
            <w:pPr>
              <w:pStyle w:val="TableContents"/>
              <w:bidi w:val="0"/>
              <w:spacing w:before="0" w:after="283"/>
              <w:jc w:val="center"/>
              <w:rPr/>
            </w:pPr>
            <w:r>
              <w:rPr/>
              <w:t>333-290400</w:t>
            </w:r>
          </w:p>
        </w:tc>
        <w:tc>
          <w:tcPr>
            <w:tcW w:w="199" w:type="dxa"/>
            <w:tcBorders/>
            <w:vAlign w:val="bottom"/>
          </w:tcPr>
          <w:p>
            <w:pPr>
              <w:pStyle w:val="TableContents"/>
              <w:bidi w:val="0"/>
              <w:spacing w:before="0" w:after="283"/>
              <w:jc w:val="left"/>
              <w:rPr/>
            </w:pPr>
            <w:r>
              <w:rPr/>
              <w:t>  </w:t>
            </w:r>
          </w:p>
        </w:tc>
        <w:tc>
          <w:tcPr>
            <w:tcW w:w="786" w:type="dxa"/>
            <w:tcBorders/>
          </w:tcPr>
          <w:p>
            <w:pPr>
              <w:pStyle w:val="TableContents"/>
              <w:bidi w:val="0"/>
              <w:spacing w:before="0" w:after="283"/>
              <w:jc w:val="center"/>
              <w:rPr/>
            </w:pPr>
            <w:r>
              <w:rPr/>
              <w:t>10.10</w:t>
            </w:r>
          </w:p>
        </w:tc>
        <w:tc>
          <w:tcPr>
            <w:tcW w:w="198" w:type="dxa"/>
            <w:tcBorders/>
            <w:vAlign w:val="bottom"/>
          </w:tcPr>
          <w:p>
            <w:pPr>
              <w:pStyle w:val="TableContents"/>
              <w:bidi w:val="0"/>
              <w:spacing w:before="0" w:after="283"/>
              <w:jc w:val="left"/>
              <w:rPr/>
            </w:pPr>
            <w:r>
              <w:rPr/>
              <w:t>  </w:t>
            </w:r>
          </w:p>
        </w:tc>
        <w:tc>
          <w:tcPr>
            <w:tcW w:w="875" w:type="dxa"/>
            <w:tcBorders/>
          </w:tcPr>
          <w:p>
            <w:pPr>
              <w:pStyle w:val="TableContents"/>
              <w:bidi w:val="0"/>
              <w:spacing w:before="0" w:after="283"/>
              <w:jc w:val="center"/>
              <w:rPr/>
            </w:pPr>
            <w:r>
              <w:rPr/>
              <w:t>9/19/2025</w:t>
            </w:r>
          </w:p>
        </w:tc>
        <w:tc>
          <w:tcPr>
            <w:tcW w:w="199" w:type="dxa"/>
            <w:tcBorders/>
            <w:vAlign w:val="bottom"/>
          </w:tcPr>
          <w:p>
            <w:pPr>
              <w:pStyle w:val="TableContents"/>
              <w:bidi w:val="0"/>
              <w:spacing w:before="0" w:after="283"/>
              <w:jc w:val="left"/>
              <w:rPr/>
            </w:pPr>
            <w:r>
              <w:rPr/>
              <w:t>  </w:t>
            </w:r>
          </w:p>
        </w:tc>
        <w:tc>
          <w:tcPr>
            <w:tcW w:w="978" w:type="dxa"/>
            <w:tcBorders/>
          </w:tcPr>
          <w:p>
            <w:pPr>
              <w:pStyle w:val="TableContents"/>
              <w:bidi w:val="0"/>
              <w:spacing w:before="0" w:after="283"/>
              <w:jc w:val="left"/>
              <w:rPr>
                <w:sz w:val="4"/>
                <w:szCs w:val="4"/>
              </w:rPr>
            </w:pPr>
            <w:r>
              <w:rPr>
                <w:sz w:val="4"/>
                <w:szCs w:val="4"/>
              </w:rPr>
            </w:r>
          </w:p>
        </w:tc>
      </w:tr>
      <w:tr>
        <w:trPr>
          <w:trHeight w:val="120" w:hRule="atLeast"/>
        </w:trPr>
        <w:tc>
          <w:tcPr>
            <w:tcW w:w="803" w:type="dxa"/>
            <w:tcBorders/>
            <w:vAlign w:val="center"/>
          </w:tcPr>
          <w:p>
            <w:pPr>
              <w:pStyle w:val="TableContents"/>
              <w:bidi w:val="0"/>
              <w:spacing w:before="0" w:after="283"/>
              <w:jc w:val="left"/>
              <w:rPr>
                <w:sz w:val="4"/>
                <w:szCs w:val="4"/>
              </w:rPr>
            </w:pPr>
            <w:r>
              <w:rPr>
                <w:sz w:val="4"/>
                <w:szCs w:val="4"/>
              </w:rPr>
            </w:r>
          </w:p>
        </w:tc>
        <w:tc>
          <w:tcPr>
            <w:tcW w:w="4199" w:type="dxa"/>
            <w:gridSpan w:val="2"/>
            <w:tcBorders/>
            <w:vAlign w:val="center"/>
          </w:tcPr>
          <w:p>
            <w:pPr>
              <w:pStyle w:val="TableContents"/>
              <w:bidi w:val="0"/>
              <w:spacing w:before="0" w:after="283"/>
              <w:jc w:val="left"/>
              <w:rPr>
                <w:sz w:val="4"/>
                <w:szCs w:val="4"/>
              </w:rPr>
            </w:pPr>
            <w:r>
              <w:rPr>
                <w:sz w:val="4"/>
                <w:szCs w:val="4"/>
              </w:rPr>
            </w:r>
          </w:p>
        </w:tc>
        <w:tc>
          <w:tcPr>
            <w:tcW w:w="812" w:type="dxa"/>
            <w:gridSpan w:val="2"/>
            <w:tcBorders/>
            <w:vAlign w:val="center"/>
          </w:tcPr>
          <w:p>
            <w:pPr>
              <w:pStyle w:val="TableContents"/>
              <w:bidi w:val="0"/>
              <w:spacing w:before="0" w:after="283"/>
              <w:jc w:val="left"/>
              <w:rPr>
                <w:sz w:val="4"/>
                <w:szCs w:val="4"/>
              </w:rPr>
            </w:pPr>
            <w:r>
              <w:rPr>
                <w:sz w:val="4"/>
                <w:szCs w:val="4"/>
              </w:rPr>
            </w:r>
          </w:p>
        </w:tc>
        <w:tc>
          <w:tcPr>
            <w:tcW w:w="1156" w:type="dxa"/>
            <w:gridSpan w:val="2"/>
            <w:tcBorders/>
            <w:vAlign w:val="center"/>
          </w:tcPr>
          <w:p>
            <w:pPr>
              <w:pStyle w:val="TableContents"/>
              <w:bidi w:val="0"/>
              <w:spacing w:before="0" w:after="283"/>
              <w:jc w:val="left"/>
              <w:rPr>
                <w:sz w:val="4"/>
                <w:szCs w:val="4"/>
              </w:rPr>
            </w:pPr>
            <w:r>
              <w:rPr>
                <w:sz w:val="4"/>
                <w:szCs w:val="4"/>
              </w:rPr>
            </w:r>
          </w:p>
        </w:tc>
        <w:tc>
          <w:tcPr>
            <w:tcW w:w="985" w:type="dxa"/>
            <w:gridSpan w:val="2"/>
            <w:tcBorders/>
            <w:vAlign w:val="center"/>
          </w:tcPr>
          <w:p>
            <w:pPr>
              <w:pStyle w:val="TableContents"/>
              <w:bidi w:val="0"/>
              <w:spacing w:before="0" w:after="283"/>
              <w:jc w:val="left"/>
              <w:rPr>
                <w:sz w:val="4"/>
                <w:szCs w:val="4"/>
              </w:rPr>
            </w:pPr>
            <w:r>
              <w:rPr>
                <w:sz w:val="4"/>
                <w:szCs w:val="4"/>
              </w:rPr>
            </w:r>
          </w:p>
        </w:tc>
        <w:tc>
          <w:tcPr>
            <w:tcW w:w="1073" w:type="dxa"/>
            <w:gridSpan w:val="2"/>
            <w:tcBorders/>
            <w:vAlign w:val="center"/>
          </w:tcPr>
          <w:p>
            <w:pPr>
              <w:pStyle w:val="TableContents"/>
              <w:bidi w:val="0"/>
              <w:spacing w:before="0" w:after="283"/>
              <w:jc w:val="left"/>
              <w:rPr>
                <w:sz w:val="4"/>
                <w:szCs w:val="4"/>
              </w:rPr>
            </w:pPr>
            <w:r>
              <w:rPr>
                <w:sz w:val="4"/>
                <w:szCs w:val="4"/>
              </w:rPr>
            </w:r>
          </w:p>
        </w:tc>
        <w:tc>
          <w:tcPr>
            <w:tcW w:w="1177" w:type="dxa"/>
            <w:gridSpan w:val="2"/>
            <w:tcBorders/>
            <w:vAlign w:val="center"/>
          </w:tcPr>
          <w:p>
            <w:pPr>
              <w:pStyle w:val="TableContents"/>
              <w:bidi w:val="0"/>
              <w:spacing w:before="0" w:after="283"/>
              <w:jc w:val="left"/>
              <w:rPr>
                <w:sz w:val="4"/>
                <w:szCs w:val="4"/>
              </w:rPr>
            </w:pPr>
            <w:r>
              <w:rPr>
                <w:sz w:val="4"/>
                <w:szCs w:val="4"/>
              </w:rPr>
            </w:r>
          </w:p>
        </w:tc>
      </w:tr>
      <w:tr>
        <w:trPr/>
        <w:tc>
          <w:tcPr>
            <w:tcW w:w="803" w:type="dxa"/>
            <w:tcBorders/>
          </w:tcPr>
          <w:p>
            <w:pPr>
              <w:pStyle w:val="TableContents"/>
              <w:bidi w:val="0"/>
              <w:spacing w:before="0" w:after="283"/>
              <w:jc w:val="left"/>
              <w:rPr/>
            </w:pPr>
            <w:r>
              <w:rPr/>
              <w:t> </w:t>
            </w:r>
            <w:r>
              <w:rPr/>
              <w:t>10.9+</w:t>
            </w:r>
          </w:p>
        </w:tc>
        <w:tc>
          <w:tcPr>
            <w:tcW w:w="326" w:type="dxa"/>
            <w:tcBorders/>
            <w:vAlign w:val="bottom"/>
          </w:tcPr>
          <w:p>
            <w:pPr>
              <w:pStyle w:val="TableContents"/>
              <w:bidi w:val="0"/>
              <w:spacing w:before="0" w:after="283"/>
              <w:jc w:val="left"/>
              <w:rPr/>
            </w:pPr>
            <w:r>
              <w:rPr/>
              <w:t>  </w:t>
            </w:r>
          </w:p>
        </w:tc>
        <w:tc>
          <w:tcPr>
            <w:tcW w:w="3873" w:type="dxa"/>
            <w:tcBorders/>
          </w:tcPr>
          <w:p>
            <w:pPr>
              <w:pStyle w:val="TableContents"/>
              <w:bidi w:val="0"/>
              <w:spacing w:before="0" w:after="283"/>
              <w:jc w:val="left"/>
              <w:rPr/>
            </w:pPr>
            <w:hyperlink r:id="rId29">
              <w:r>
                <w:rPr>
                  <w:rStyle w:val="InternetLink"/>
                </w:rPr>
                <w:t xml:space="preserve">Non-Employee Director Compensation Policy </w:t>
              </w:r>
            </w:hyperlink>
          </w:p>
        </w:tc>
        <w:tc>
          <w:tcPr>
            <w:tcW w:w="199" w:type="dxa"/>
            <w:tcBorders/>
            <w:vAlign w:val="bottom"/>
          </w:tcPr>
          <w:p>
            <w:pPr>
              <w:pStyle w:val="TableContents"/>
              <w:bidi w:val="0"/>
              <w:spacing w:before="0" w:after="283"/>
              <w:jc w:val="left"/>
              <w:rPr/>
            </w:pPr>
            <w:r>
              <w:rPr/>
              <w:t>  </w:t>
            </w:r>
          </w:p>
        </w:tc>
        <w:tc>
          <w:tcPr>
            <w:tcW w:w="613" w:type="dxa"/>
            <w:tcBorders/>
          </w:tcPr>
          <w:p>
            <w:pPr>
              <w:pStyle w:val="TableContents"/>
              <w:bidi w:val="0"/>
              <w:spacing w:before="0" w:after="283"/>
              <w:jc w:val="center"/>
              <w:rPr/>
            </w:pPr>
            <w:r>
              <w:rPr/>
              <w:t>10-Q</w:t>
            </w:r>
          </w:p>
        </w:tc>
        <w:tc>
          <w:tcPr>
            <w:tcW w:w="199" w:type="dxa"/>
            <w:tcBorders/>
            <w:vAlign w:val="bottom"/>
          </w:tcPr>
          <w:p>
            <w:pPr>
              <w:pStyle w:val="TableContents"/>
              <w:bidi w:val="0"/>
              <w:spacing w:before="0" w:after="283"/>
              <w:jc w:val="left"/>
              <w:rPr/>
            </w:pPr>
            <w:r>
              <w:rPr/>
              <w:t>  </w:t>
            </w:r>
          </w:p>
        </w:tc>
        <w:tc>
          <w:tcPr>
            <w:tcW w:w="957" w:type="dxa"/>
            <w:tcBorders/>
          </w:tcPr>
          <w:p>
            <w:pPr>
              <w:pStyle w:val="TableContents"/>
              <w:bidi w:val="0"/>
              <w:spacing w:before="0" w:after="283"/>
              <w:jc w:val="center"/>
              <w:rPr/>
            </w:pPr>
            <w:r>
              <w:rPr/>
              <w:t>001-42914</w:t>
            </w:r>
          </w:p>
        </w:tc>
        <w:tc>
          <w:tcPr>
            <w:tcW w:w="199" w:type="dxa"/>
            <w:tcBorders/>
            <w:vAlign w:val="bottom"/>
          </w:tcPr>
          <w:p>
            <w:pPr>
              <w:pStyle w:val="TableContents"/>
              <w:bidi w:val="0"/>
              <w:spacing w:before="0" w:after="283"/>
              <w:jc w:val="left"/>
              <w:rPr/>
            </w:pPr>
            <w:r>
              <w:rPr/>
              <w:t>  </w:t>
            </w:r>
          </w:p>
        </w:tc>
        <w:tc>
          <w:tcPr>
            <w:tcW w:w="786" w:type="dxa"/>
            <w:tcBorders/>
          </w:tcPr>
          <w:p>
            <w:pPr>
              <w:pStyle w:val="TableContents"/>
              <w:bidi w:val="0"/>
              <w:spacing w:before="0" w:after="283"/>
              <w:jc w:val="center"/>
              <w:rPr/>
            </w:pPr>
            <w:r>
              <w:rPr/>
              <w:t>10.1</w:t>
            </w:r>
          </w:p>
        </w:tc>
        <w:tc>
          <w:tcPr>
            <w:tcW w:w="198" w:type="dxa"/>
            <w:tcBorders/>
            <w:vAlign w:val="bottom"/>
          </w:tcPr>
          <w:p>
            <w:pPr>
              <w:pStyle w:val="TableContents"/>
              <w:bidi w:val="0"/>
              <w:spacing w:before="0" w:after="283"/>
              <w:jc w:val="left"/>
              <w:rPr/>
            </w:pPr>
            <w:r>
              <w:rPr/>
              <w:t>  </w:t>
            </w:r>
          </w:p>
        </w:tc>
        <w:tc>
          <w:tcPr>
            <w:tcW w:w="875" w:type="dxa"/>
            <w:tcBorders/>
          </w:tcPr>
          <w:p>
            <w:pPr>
              <w:pStyle w:val="TableContents"/>
              <w:bidi w:val="0"/>
              <w:spacing w:before="0" w:after="283"/>
              <w:jc w:val="center"/>
              <w:rPr/>
            </w:pPr>
            <w:r>
              <w:rPr/>
              <w:t>5/14/2026</w:t>
            </w:r>
          </w:p>
        </w:tc>
        <w:tc>
          <w:tcPr>
            <w:tcW w:w="199" w:type="dxa"/>
            <w:tcBorders/>
            <w:vAlign w:val="bottom"/>
          </w:tcPr>
          <w:p>
            <w:pPr>
              <w:pStyle w:val="TableContents"/>
              <w:bidi w:val="0"/>
              <w:spacing w:before="0" w:after="283"/>
              <w:jc w:val="left"/>
              <w:rPr/>
            </w:pPr>
            <w:r>
              <w:rPr/>
              <w:t>  </w:t>
            </w:r>
          </w:p>
        </w:tc>
        <w:tc>
          <w:tcPr>
            <w:tcW w:w="978" w:type="dxa"/>
            <w:tcBorders/>
          </w:tcPr>
          <w:p>
            <w:pPr>
              <w:pStyle w:val="TableContents"/>
              <w:bidi w:val="0"/>
              <w:spacing w:before="0" w:after="283"/>
              <w:jc w:val="left"/>
              <w:rPr>
                <w:sz w:val="4"/>
                <w:szCs w:val="4"/>
              </w:rPr>
            </w:pPr>
            <w:r>
              <w:rPr>
                <w:sz w:val="4"/>
                <w:szCs w:val="4"/>
              </w:rPr>
            </w:r>
          </w:p>
        </w:tc>
      </w:tr>
      <w:tr>
        <w:trPr>
          <w:trHeight w:val="120" w:hRule="atLeast"/>
        </w:trPr>
        <w:tc>
          <w:tcPr>
            <w:tcW w:w="803" w:type="dxa"/>
            <w:tcBorders/>
            <w:vAlign w:val="center"/>
          </w:tcPr>
          <w:p>
            <w:pPr>
              <w:pStyle w:val="TableContents"/>
              <w:bidi w:val="0"/>
              <w:spacing w:before="0" w:after="283"/>
              <w:jc w:val="left"/>
              <w:rPr>
                <w:sz w:val="4"/>
                <w:szCs w:val="4"/>
              </w:rPr>
            </w:pPr>
            <w:r>
              <w:rPr>
                <w:sz w:val="4"/>
                <w:szCs w:val="4"/>
              </w:rPr>
            </w:r>
          </w:p>
        </w:tc>
        <w:tc>
          <w:tcPr>
            <w:tcW w:w="4199" w:type="dxa"/>
            <w:gridSpan w:val="2"/>
            <w:tcBorders/>
            <w:vAlign w:val="center"/>
          </w:tcPr>
          <w:p>
            <w:pPr>
              <w:pStyle w:val="TableContents"/>
              <w:bidi w:val="0"/>
              <w:spacing w:before="0" w:after="283"/>
              <w:jc w:val="left"/>
              <w:rPr>
                <w:sz w:val="4"/>
                <w:szCs w:val="4"/>
              </w:rPr>
            </w:pPr>
            <w:r>
              <w:rPr>
                <w:sz w:val="4"/>
                <w:szCs w:val="4"/>
              </w:rPr>
            </w:r>
          </w:p>
        </w:tc>
        <w:tc>
          <w:tcPr>
            <w:tcW w:w="812" w:type="dxa"/>
            <w:gridSpan w:val="2"/>
            <w:tcBorders/>
            <w:vAlign w:val="center"/>
          </w:tcPr>
          <w:p>
            <w:pPr>
              <w:pStyle w:val="TableContents"/>
              <w:bidi w:val="0"/>
              <w:spacing w:before="0" w:after="283"/>
              <w:jc w:val="left"/>
              <w:rPr>
                <w:sz w:val="4"/>
                <w:szCs w:val="4"/>
              </w:rPr>
            </w:pPr>
            <w:r>
              <w:rPr>
                <w:sz w:val="4"/>
                <w:szCs w:val="4"/>
              </w:rPr>
            </w:r>
          </w:p>
        </w:tc>
        <w:tc>
          <w:tcPr>
            <w:tcW w:w="1156" w:type="dxa"/>
            <w:gridSpan w:val="2"/>
            <w:tcBorders/>
            <w:vAlign w:val="center"/>
          </w:tcPr>
          <w:p>
            <w:pPr>
              <w:pStyle w:val="TableContents"/>
              <w:bidi w:val="0"/>
              <w:spacing w:before="0" w:after="283"/>
              <w:jc w:val="left"/>
              <w:rPr>
                <w:sz w:val="4"/>
                <w:szCs w:val="4"/>
              </w:rPr>
            </w:pPr>
            <w:r>
              <w:rPr>
                <w:sz w:val="4"/>
                <w:szCs w:val="4"/>
              </w:rPr>
            </w:r>
          </w:p>
        </w:tc>
        <w:tc>
          <w:tcPr>
            <w:tcW w:w="985" w:type="dxa"/>
            <w:gridSpan w:val="2"/>
            <w:tcBorders/>
            <w:vAlign w:val="center"/>
          </w:tcPr>
          <w:p>
            <w:pPr>
              <w:pStyle w:val="TableContents"/>
              <w:bidi w:val="0"/>
              <w:spacing w:before="0" w:after="283"/>
              <w:jc w:val="left"/>
              <w:rPr>
                <w:sz w:val="4"/>
                <w:szCs w:val="4"/>
              </w:rPr>
            </w:pPr>
            <w:r>
              <w:rPr>
                <w:sz w:val="4"/>
                <w:szCs w:val="4"/>
              </w:rPr>
            </w:r>
          </w:p>
        </w:tc>
        <w:tc>
          <w:tcPr>
            <w:tcW w:w="1073" w:type="dxa"/>
            <w:gridSpan w:val="2"/>
            <w:tcBorders/>
            <w:vAlign w:val="center"/>
          </w:tcPr>
          <w:p>
            <w:pPr>
              <w:pStyle w:val="TableContents"/>
              <w:bidi w:val="0"/>
              <w:spacing w:before="0" w:after="283"/>
              <w:jc w:val="left"/>
              <w:rPr>
                <w:sz w:val="4"/>
                <w:szCs w:val="4"/>
              </w:rPr>
            </w:pPr>
            <w:r>
              <w:rPr>
                <w:sz w:val="4"/>
                <w:szCs w:val="4"/>
              </w:rPr>
            </w:r>
          </w:p>
        </w:tc>
        <w:tc>
          <w:tcPr>
            <w:tcW w:w="1177" w:type="dxa"/>
            <w:gridSpan w:val="2"/>
            <w:tcBorders/>
            <w:vAlign w:val="center"/>
          </w:tcPr>
          <w:p>
            <w:pPr>
              <w:pStyle w:val="TableContents"/>
              <w:bidi w:val="0"/>
              <w:spacing w:before="0" w:after="283"/>
              <w:jc w:val="left"/>
              <w:rPr>
                <w:sz w:val="4"/>
                <w:szCs w:val="4"/>
              </w:rPr>
            </w:pPr>
            <w:r>
              <w:rPr>
                <w:sz w:val="4"/>
                <w:szCs w:val="4"/>
              </w:rPr>
            </w:r>
          </w:p>
        </w:tc>
      </w:tr>
      <w:tr>
        <w:trPr/>
        <w:tc>
          <w:tcPr>
            <w:tcW w:w="803" w:type="dxa"/>
            <w:tcBorders/>
          </w:tcPr>
          <w:p>
            <w:pPr>
              <w:pStyle w:val="TableContents"/>
              <w:bidi w:val="0"/>
              <w:spacing w:before="0" w:after="283"/>
              <w:jc w:val="left"/>
              <w:rPr/>
            </w:pPr>
            <w:r>
              <w:rPr/>
              <w:t> </w:t>
            </w:r>
            <w:r>
              <w:rPr/>
              <w:t>10.10#</w:t>
            </w:r>
          </w:p>
        </w:tc>
        <w:tc>
          <w:tcPr>
            <w:tcW w:w="326" w:type="dxa"/>
            <w:tcBorders/>
            <w:vAlign w:val="bottom"/>
          </w:tcPr>
          <w:p>
            <w:pPr>
              <w:pStyle w:val="TableContents"/>
              <w:bidi w:val="0"/>
              <w:spacing w:before="0" w:after="283"/>
              <w:jc w:val="left"/>
              <w:rPr/>
            </w:pPr>
            <w:r>
              <w:rPr/>
              <w:t>  </w:t>
            </w:r>
          </w:p>
        </w:tc>
        <w:tc>
          <w:tcPr>
            <w:tcW w:w="3873" w:type="dxa"/>
            <w:tcBorders/>
          </w:tcPr>
          <w:p>
            <w:pPr>
              <w:pStyle w:val="TableContents"/>
              <w:bidi w:val="0"/>
              <w:spacing w:before="0" w:after="283"/>
              <w:jc w:val="left"/>
              <w:rPr/>
            </w:pPr>
            <w:hyperlink r:id="rId30">
              <w:r>
                <w:rPr>
                  <w:rStyle w:val="InternetLink"/>
                </w:rPr>
                <w:t>Asset Purchase Agreement by and between the Registrant and NeuroSolis, Inc. dated June 18, 2020</w:t>
              </w:r>
            </w:hyperlink>
          </w:p>
        </w:tc>
        <w:tc>
          <w:tcPr>
            <w:tcW w:w="199" w:type="dxa"/>
            <w:tcBorders/>
            <w:vAlign w:val="bottom"/>
          </w:tcPr>
          <w:p>
            <w:pPr>
              <w:pStyle w:val="TableContents"/>
              <w:bidi w:val="0"/>
              <w:spacing w:before="0" w:after="283"/>
              <w:jc w:val="left"/>
              <w:rPr/>
            </w:pPr>
            <w:r>
              <w:rPr/>
              <w:t>  </w:t>
            </w:r>
          </w:p>
        </w:tc>
        <w:tc>
          <w:tcPr>
            <w:tcW w:w="613" w:type="dxa"/>
            <w:tcBorders/>
          </w:tcPr>
          <w:p>
            <w:pPr>
              <w:pStyle w:val="TableContents"/>
              <w:bidi w:val="0"/>
              <w:spacing w:before="0" w:after="283"/>
              <w:jc w:val="center"/>
              <w:rPr/>
            </w:pPr>
            <w:r>
              <w:rPr/>
              <w:t>S-1</w:t>
            </w:r>
          </w:p>
        </w:tc>
        <w:tc>
          <w:tcPr>
            <w:tcW w:w="199" w:type="dxa"/>
            <w:tcBorders/>
            <w:vAlign w:val="bottom"/>
          </w:tcPr>
          <w:p>
            <w:pPr>
              <w:pStyle w:val="TableContents"/>
              <w:bidi w:val="0"/>
              <w:spacing w:before="0" w:after="283"/>
              <w:jc w:val="left"/>
              <w:rPr/>
            </w:pPr>
            <w:r>
              <w:rPr/>
              <w:t>  </w:t>
            </w:r>
          </w:p>
        </w:tc>
        <w:tc>
          <w:tcPr>
            <w:tcW w:w="957" w:type="dxa"/>
            <w:tcBorders/>
          </w:tcPr>
          <w:p>
            <w:pPr>
              <w:pStyle w:val="TableContents"/>
              <w:bidi w:val="0"/>
              <w:spacing w:before="0" w:after="283"/>
              <w:jc w:val="center"/>
              <w:rPr/>
            </w:pPr>
            <w:r>
              <w:rPr/>
              <w:t>333-290400</w:t>
            </w:r>
          </w:p>
        </w:tc>
        <w:tc>
          <w:tcPr>
            <w:tcW w:w="199" w:type="dxa"/>
            <w:tcBorders/>
            <w:vAlign w:val="bottom"/>
          </w:tcPr>
          <w:p>
            <w:pPr>
              <w:pStyle w:val="TableContents"/>
              <w:bidi w:val="0"/>
              <w:spacing w:before="0" w:after="283"/>
              <w:jc w:val="left"/>
              <w:rPr/>
            </w:pPr>
            <w:r>
              <w:rPr/>
              <w:t>  </w:t>
            </w:r>
          </w:p>
        </w:tc>
        <w:tc>
          <w:tcPr>
            <w:tcW w:w="786" w:type="dxa"/>
            <w:tcBorders/>
          </w:tcPr>
          <w:p>
            <w:pPr>
              <w:pStyle w:val="TableContents"/>
              <w:bidi w:val="0"/>
              <w:spacing w:before="0" w:after="283"/>
              <w:jc w:val="center"/>
              <w:rPr/>
            </w:pPr>
            <w:r>
              <w:rPr/>
              <w:t>10.8</w:t>
            </w:r>
          </w:p>
        </w:tc>
        <w:tc>
          <w:tcPr>
            <w:tcW w:w="198" w:type="dxa"/>
            <w:tcBorders/>
            <w:vAlign w:val="bottom"/>
          </w:tcPr>
          <w:p>
            <w:pPr>
              <w:pStyle w:val="TableContents"/>
              <w:bidi w:val="0"/>
              <w:spacing w:before="0" w:after="283"/>
              <w:jc w:val="left"/>
              <w:rPr/>
            </w:pPr>
            <w:r>
              <w:rPr/>
              <w:t>  </w:t>
            </w:r>
          </w:p>
        </w:tc>
        <w:tc>
          <w:tcPr>
            <w:tcW w:w="875" w:type="dxa"/>
            <w:tcBorders/>
          </w:tcPr>
          <w:p>
            <w:pPr>
              <w:pStyle w:val="TableContents"/>
              <w:bidi w:val="0"/>
              <w:spacing w:before="0" w:after="283"/>
              <w:jc w:val="center"/>
              <w:rPr/>
            </w:pPr>
            <w:r>
              <w:rPr/>
              <w:t>9/19/2025</w:t>
            </w:r>
          </w:p>
        </w:tc>
        <w:tc>
          <w:tcPr>
            <w:tcW w:w="199" w:type="dxa"/>
            <w:tcBorders/>
            <w:vAlign w:val="bottom"/>
          </w:tcPr>
          <w:p>
            <w:pPr>
              <w:pStyle w:val="TableContents"/>
              <w:bidi w:val="0"/>
              <w:spacing w:before="0" w:after="283"/>
              <w:jc w:val="left"/>
              <w:rPr/>
            </w:pPr>
            <w:r>
              <w:rPr/>
              <w:t>  </w:t>
            </w:r>
          </w:p>
        </w:tc>
        <w:tc>
          <w:tcPr>
            <w:tcW w:w="978" w:type="dxa"/>
            <w:tcBorders/>
          </w:tcPr>
          <w:p>
            <w:pPr>
              <w:pStyle w:val="TableContents"/>
              <w:bidi w:val="0"/>
              <w:spacing w:before="0" w:after="283"/>
              <w:jc w:val="left"/>
              <w:rPr>
                <w:sz w:val="4"/>
                <w:szCs w:val="4"/>
              </w:rPr>
            </w:pPr>
            <w:r>
              <w:rPr>
                <w:sz w:val="4"/>
                <w:szCs w:val="4"/>
              </w:rPr>
            </w:r>
          </w:p>
        </w:tc>
      </w:tr>
      <w:tr>
        <w:trPr>
          <w:trHeight w:val="120" w:hRule="atLeast"/>
        </w:trPr>
        <w:tc>
          <w:tcPr>
            <w:tcW w:w="803" w:type="dxa"/>
            <w:tcBorders/>
            <w:vAlign w:val="center"/>
          </w:tcPr>
          <w:p>
            <w:pPr>
              <w:pStyle w:val="TableContents"/>
              <w:bidi w:val="0"/>
              <w:spacing w:before="0" w:after="283"/>
              <w:jc w:val="left"/>
              <w:rPr>
                <w:sz w:val="4"/>
                <w:szCs w:val="4"/>
              </w:rPr>
            </w:pPr>
            <w:r>
              <w:rPr>
                <w:sz w:val="4"/>
                <w:szCs w:val="4"/>
              </w:rPr>
            </w:r>
          </w:p>
        </w:tc>
        <w:tc>
          <w:tcPr>
            <w:tcW w:w="4199" w:type="dxa"/>
            <w:gridSpan w:val="2"/>
            <w:tcBorders/>
            <w:vAlign w:val="center"/>
          </w:tcPr>
          <w:p>
            <w:pPr>
              <w:pStyle w:val="TableContents"/>
              <w:bidi w:val="0"/>
              <w:spacing w:before="0" w:after="283"/>
              <w:jc w:val="left"/>
              <w:rPr>
                <w:sz w:val="4"/>
                <w:szCs w:val="4"/>
              </w:rPr>
            </w:pPr>
            <w:r>
              <w:rPr>
                <w:sz w:val="4"/>
                <w:szCs w:val="4"/>
              </w:rPr>
            </w:r>
          </w:p>
        </w:tc>
        <w:tc>
          <w:tcPr>
            <w:tcW w:w="812" w:type="dxa"/>
            <w:gridSpan w:val="2"/>
            <w:tcBorders/>
            <w:vAlign w:val="center"/>
          </w:tcPr>
          <w:p>
            <w:pPr>
              <w:pStyle w:val="TableContents"/>
              <w:bidi w:val="0"/>
              <w:spacing w:before="0" w:after="283"/>
              <w:jc w:val="left"/>
              <w:rPr>
                <w:sz w:val="4"/>
                <w:szCs w:val="4"/>
              </w:rPr>
            </w:pPr>
            <w:r>
              <w:rPr>
                <w:sz w:val="4"/>
                <w:szCs w:val="4"/>
              </w:rPr>
            </w:r>
          </w:p>
        </w:tc>
        <w:tc>
          <w:tcPr>
            <w:tcW w:w="1156" w:type="dxa"/>
            <w:gridSpan w:val="2"/>
            <w:tcBorders/>
            <w:vAlign w:val="center"/>
          </w:tcPr>
          <w:p>
            <w:pPr>
              <w:pStyle w:val="TableContents"/>
              <w:bidi w:val="0"/>
              <w:spacing w:before="0" w:after="283"/>
              <w:jc w:val="left"/>
              <w:rPr>
                <w:sz w:val="4"/>
                <w:szCs w:val="4"/>
              </w:rPr>
            </w:pPr>
            <w:r>
              <w:rPr>
                <w:sz w:val="4"/>
                <w:szCs w:val="4"/>
              </w:rPr>
            </w:r>
          </w:p>
        </w:tc>
        <w:tc>
          <w:tcPr>
            <w:tcW w:w="985" w:type="dxa"/>
            <w:gridSpan w:val="2"/>
            <w:tcBorders/>
            <w:vAlign w:val="center"/>
          </w:tcPr>
          <w:p>
            <w:pPr>
              <w:pStyle w:val="TableContents"/>
              <w:bidi w:val="0"/>
              <w:spacing w:before="0" w:after="283"/>
              <w:jc w:val="left"/>
              <w:rPr>
                <w:sz w:val="4"/>
                <w:szCs w:val="4"/>
              </w:rPr>
            </w:pPr>
            <w:r>
              <w:rPr>
                <w:sz w:val="4"/>
                <w:szCs w:val="4"/>
              </w:rPr>
            </w:r>
          </w:p>
        </w:tc>
        <w:tc>
          <w:tcPr>
            <w:tcW w:w="1073" w:type="dxa"/>
            <w:gridSpan w:val="2"/>
            <w:tcBorders/>
            <w:vAlign w:val="center"/>
          </w:tcPr>
          <w:p>
            <w:pPr>
              <w:pStyle w:val="TableContents"/>
              <w:bidi w:val="0"/>
              <w:spacing w:before="0" w:after="283"/>
              <w:jc w:val="left"/>
              <w:rPr>
                <w:sz w:val="4"/>
                <w:szCs w:val="4"/>
              </w:rPr>
            </w:pPr>
            <w:r>
              <w:rPr>
                <w:sz w:val="4"/>
                <w:szCs w:val="4"/>
              </w:rPr>
            </w:r>
          </w:p>
        </w:tc>
        <w:tc>
          <w:tcPr>
            <w:tcW w:w="1177" w:type="dxa"/>
            <w:gridSpan w:val="2"/>
            <w:tcBorders/>
            <w:vAlign w:val="center"/>
          </w:tcPr>
          <w:p>
            <w:pPr>
              <w:pStyle w:val="TableContents"/>
              <w:bidi w:val="0"/>
              <w:spacing w:before="0" w:after="283"/>
              <w:jc w:val="left"/>
              <w:rPr>
                <w:sz w:val="4"/>
                <w:szCs w:val="4"/>
              </w:rPr>
            </w:pPr>
            <w:r>
              <w:rPr>
                <w:sz w:val="4"/>
                <w:szCs w:val="4"/>
              </w:rPr>
            </w:r>
          </w:p>
        </w:tc>
      </w:tr>
      <w:tr>
        <w:trPr/>
        <w:tc>
          <w:tcPr>
            <w:tcW w:w="803" w:type="dxa"/>
            <w:tcBorders/>
          </w:tcPr>
          <w:p>
            <w:pPr>
              <w:pStyle w:val="TableContents"/>
              <w:bidi w:val="0"/>
              <w:spacing w:before="0" w:after="283"/>
              <w:jc w:val="left"/>
              <w:rPr/>
            </w:pPr>
            <w:r>
              <w:rPr/>
              <w:t> </w:t>
            </w:r>
            <w:r>
              <w:rPr/>
              <w:t>10.11</w:t>
            </w:r>
          </w:p>
        </w:tc>
        <w:tc>
          <w:tcPr>
            <w:tcW w:w="326" w:type="dxa"/>
            <w:tcBorders/>
            <w:vAlign w:val="bottom"/>
          </w:tcPr>
          <w:p>
            <w:pPr>
              <w:pStyle w:val="TableContents"/>
              <w:bidi w:val="0"/>
              <w:spacing w:before="0" w:after="283"/>
              <w:jc w:val="left"/>
              <w:rPr/>
            </w:pPr>
            <w:r>
              <w:rPr/>
              <w:t>  </w:t>
            </w:r>
          </w:p>
        </w:tc>
        <w:tc>
          <w:tcPr>
            <w:tcW w:w="3873" w:type="dxa"/>
            <w:tcBorders/>
          </w:tcPr>
          <w:p>
            <w:pPr>
              <w:pStyle w:val="TableContents"/>
              <w:bidi w:val="0"/>
              <w:spacing w:before="0" w:after="283"/>
              <w:jc w:val="left"/>
              <w:rPr/>
            </w:pPr>
            <w:hyperlink r:id="rId31">
              <w:r>
                <w:rPr>
                  <w:rStyle w:val="InternetLink"/>
                </w:rPr>
                <w:t xml:space="preserve">Form of Securities Purchase Agreement, dated August 13, 2026, by and among MapLight Therapeutics, Inc. and the Purchasers. </w:t>
              </w:r>
            </w:hyperlink>
          </w:p>
        </w:tc>
        <w:tc>
          <w:tcPr>
            <w:tcW w:w="199" w:type="dxa"/>
            <w:tcBorders/>
            <w:vAlign w:val="bottom"/>
          </w:tcPr>
          <w:p>
            <w:pPr>
              <w:pStyle w:val="TableContents"/>
              <w:bidi w:val="0"/>
              <w:spacing w:before="0" w:after="283"/>
              <w:jc w:val="left"/>
              <w:rPr/>
            </w:pPr>
            <w:r>
              <w:rPr/>
              <w:t>  </w:t>
            </w:r>
          </w:p>
        </w:tc>
        <w:tc>
          <w:tcPr>
            <w:tcW w:w="613" w:type="dxa"/>
            <w:tcBorders/>
          </w:tcPr>
          <w:p>
            <w:pPr>
              <w:pStyle w:val="TableContents"/>
              <w:bidi w:val="0"/>
              <w:spacing w:before="0" w:after="283"/>
              <w:jc w:val="center"/>
              <w:rPr/>
            </w:pPr>
            <w:r>
              <w:rPr/>
              <w:t>8-K</w:t>
            </w:r>
          </w:p>
        </w:tc>
        <w:tc>
          <w:tcPr>
            <w:tcW w:w="199" w:type="dxa"/>
            <w:tcBorders/>
            <w:vAlign w:val="bottom"/>
          </w:tcPr>
          <w:p>
            <w:pPr>
              <w:pStyle w:val="TableContents"/>
              <w:bidi w:val="0"/>
              <w:spacing w:before="0" w:after="283"/>
              <w:jc w:val="left"/>
              <w:rPr/>
            </w:pPr>
            <w:r>
              <w:rPr/>
              <w:t>  </w:t>
            </w:r>
          </w:p>
        </w:tc>
        <w:tc>
          <w:tcPr>
            <w:tcW w:w="957" w:type="dxa"/>
            <w:tcBorders/>
          </w:tcPr>
          <w:p>
            <w:pPr>
              <w:pStyle w:val="TableContents"/>
              <w:bidi w:val="0"/>
              <w:spacing w:before="0" w:after="283"/>
              <w:jc w:val="center"/>
              <w:rPr/>
            </w:pPr>
            <w:r>
              <w:rPr/>
              <w:t>001-42914</w:t>
            </w:r>
          </w:p>
        </w:tc>
        <w:tc>
          <w:tcPr>
            <w:tcW w:w="199" w:type="dxa"/>
            <w:tcBorders/>
            <w:vAlign w:val="bottom"/>
          </w:tcPr>
          <w:p>
            <w:pPr>
              <w:pStyle w:val="TableContents"/>
              <w:bidi w:val="0"/>
              <w:spacing w:before="0" w:after="283"/>
              <w:jc w:val="left"/>
              <w:rPr/>
            </w:pPr>
            <w:r>
              <w:rPr/>
              <w:t>  </w:t>
            </w:r>
          </w:p>
        </w:tc>
        <w:tc>
          <w:tcPr>
            <w:tcW w:w="786" w:type="dxa"/>
            <w:tcBorders/>
          </w:tcPr>
          <w:p>
            <w:pPr>
              <w:pStyle w:val="TableContents"/>
              <w:bidi w:val="0"/>
              <w:spacing w:before="0" w:after="283"/>
              <w:jc w:val="center"/>
              <w:rPr/>
            </w:pPr>
            <w:r>
              <w:rPr/>
              <w:t>10.1</w:t>
            </w:r>
          </w:p>
        </w:tc>
        <w:tc>
          <w:tcPr>
            <w:tcW w:w="198" w:type="dxa"/>
            <w:tcBorders/>
            <w:vAlign w:val="bottom"/>
          </w:tcPr>
          <w:p>
            <w:pPr>
              <w:pStyle w:val="TableContents"/>
              <w:bidi w:val="0"/>
              <w:spacing w:before="0" w:after="283"/>
              <w:jc w:val="left"/>
              <w:rPr/>
            </w:pPr>
            <w:r>
              <w:rPr/>
              <w:t>  </w:t>
            </w:r>
          </w:p>
        </w:tc>
        <w:tc>
          <w:tcPr>
            <w:tcW w:w="875" w:type="dxa"/>
            <w:tcBorders/>
          </w:tcPr>
          <w:p>
            <w:pPr>
              <w:pStyle w:val="TableContents"/>
              <w:bidi w:val="0"/>
              <w:spacing w:before="0" w:after="283"/>
              <w:jc w:val="center"/>
              <w:rPr/>
            </w:pPr>
            <w:r>
              <w:rPr/>
              <w:t>8/13/2026</w:t>
            </w:r>
          </w:p>
        </w:tc>
        <w:tc>
          <w:tcPr>
            <w:tcW w:w="199" w:type="dxa"/>
            <w:tcBorders/>
            <w:vAlign w:val="bottom"/>
          </w:tcPr>
          <w:p>
            <w:pPr>
              <w:pStyle w:val="TableContents"/>
              <w:bidi w:val="0"/>
              <w:spacing w:before="0" w:after="283"/>
              <w:jc w:val="left"/>
              <w:rPr/>
            </w:pPr>
            <w:r>
              <w:rPr/>
              <w:t>  </w:t>
            </w:r>
          </w:p>
        </w:tc>
        <w:tc>
          <w:tcPr>
            <w:tcW w:w="978" w:type="dxa"/>
            <w:tcBorders/>
          </w:tcPr>
          <w:p>
            <w:pPr>
              <w:pStyle w:val="TableContents"/>
              <w:bidi w:val="0"/>
              <w:spacing w:before="0" w:after="283"/>
              <w:jc w:val="left"/>
              <w:rPr>
                <w:sz w:val="4"/>
                <w:szCs w:val="4"/>
              </w:rPr>
            </w:pPr>
            <w:r>
              <w:rPr>
                <w:sz w:val="4"/>
                <w:szCs w:val="4"/>
              </w:rPr>
            </w:r>
          </w:p>
        </w:tc>
      </w:tr>
      <w:tr>
        <w:trPr>
          <w:trHeight w:val="120" w:hRule="atLeast"/>
        </w:trPr>
        <w:tc>
          <w:tcPr>
            <w:tcW w:w="803" w:type="dxa"/>
            <w:tcBorders/>
            <w:vAlign w:val="center"/>
          </w:tcPr>
          <w:p>
            <w:pPr>
              <w:pStyle w:val="TableContents"/>
              <w:bidi w:val="0"/>
              <w:spacing w:before="0" w:after="283"/>
              <w:jc w:val="left"/>
              <w:rPr>
                <w:sz w:val="4"/>
                <w:szCs w:val="4"/>
              </w:rPr>
            </w:pPr>
            <w:r>
              <w:rPr>
                <w:sz w:val="4"/>
                <w:szCs w:val="4"/>
              </w:rPr>
            </w:r>
          </w:p>
        </w:tc>
        <w:tc>
          <w:tcPr>
            <w:tcW w:w="4199" w:type="dxa"/>
            <w:gridSpan w:val="2"/>
            <w:tcBorders/>
            <w:vAlign w:val="center"/>
          </w:tcPr>
          <w:p>
            <w:pPr>
              <w:pStyle w:val="TableContents"/>
              <w:bidi w:val="0"/>
              <w:spacing w:before="0" w:after="283"/>
              <w:jc w:val="left"/>
              <w:rPr>
                <w:sz w:val="4"/>
                <w:szCs w:val="4"/>
              </w:rPr>
            </w:pPr>
            <w:r>
              <w:rPr>
                <w:sz w:val="4"/>
                <w:szCs w:val="4"/>
              </w:rPr>
            </w:r>
          </w:p>
        </w:tc>
        <w:tc>
          <w:tcPr>
            <w:tcW w:w="812" w:type="dxa"/>
            <w:gridSpan w:val="2"/>
            <w:tcBorders/>
            <w:vAlign w:val="center"/>
          </w:tcPr>
          <w:p>
            <w:pPr>
              <w:pStyle w:val="TableContents"/>
              <w:bidi w:val="0"/>
              <w:spacing w:before="0" w:after="283"/>
              <w:jc w:val="left"/>
              <w:rPr>
                <w:sz w:val="4"/>
                <w:szCs w:val="4"/>
              </w:rPr>
            </w:pPr>
            <w:r>
              <w:rPr>
                <w:sz w:val="4"/>
                <w:szCs w:val="4"/>
              </w:rPr>
            </w:r>
          </w:p>
        </w:tc>
        <w:tc>
          <w:tcPr>
            <w:tcW w:w="1156" w:type="dxa"/>
            <w:gridSpan w:val="2"/>
            <w:tcBorders/>
            <w:vAlign w:val="center"/>
          </w:tcPr>
          <w:p>
            <w:pPr>
              <w:pStyle w:val="TableContents"/>
              <w:bidi w:val="0"/>
              <w:spacing w:before="0" w:after="283"/>
              <w:jc w:val="left"/>
              <w:rPr>
                <w:sz w:val="4"/>
                <w:szCs w:val="4"/>
              </w:rPr>
            </w:pPr>
            <w:r>
              <w:rPr>
                <w:sz w:val="4"/>
                <w:szCs w:val="4"/>
              </w:rPr>
            </w:r>
          </w:p>
        </w:tc>
        <w:tc>
          <w:tcPr>
            <w:tcW w:w="985" w:type="dxa"/>
            <w:gridSpan w:val="2"/>
            <w:tcBorders/>
            <w:vAlign w:val="center"/>
          </w:tcPr>
          <w:p>
            <w:pPr>
              <w:pStyle w:val="TableContents"/>
              <w:bidi w:val="0"/>
              <w:spacing w:before="0" w:after="283"/>
              <w:jc w:val="left"/>
              <w:rPr>
                <w:sz w:val="4"/>
                <w:szCs w:val="4"/>
              </w:rPr>
            </w:pPr>
            <w:r>
              <w:rPr>
                <w:sz w:val="4"/>
                <w:szCs w:val="4"/>
              </w:rPr>
            </w:r>
          </w:p>
        </w:tc>
        <w:tc>
          <w:tcPr>
            <w:tcW w:w="1073" w:type="dxa"/>
            <w:gridSpan w:val="2"/>
            <w:tcBorders/>
            <w:vAlign w:val="center"/>
          </w:tcPr>
          <w:p>
            <w:pPr>
              <w:pStyle w:val="TableContents"/>
              <w:bidi w:val="0"/>
              <w:spacing w:before="0" w:after="283"/>
              <w:jc w:val="left"/>
              <w:rPr>
                <w:sz w:val="4"/>
                <w:szCs w:val="4"/>
              </w:rPr>
            </w:pPr>
            <w:r>
              <w:rPr>
                <w:sz w:val="4"/>
                <w:szCs w:val="4"/>
              </w:rPr>
            </w:r>
          </w:p>
        </w:tc>
        <w:tc>
          <w:tcPr>
            <w:tcW w:w="1177" w:type="dxa"/>
            <w:gridSpan w:val="2"/>
            <w:tcBorders/>
            <w:vAlign w:val="center"/>
          </w:tcPr>
          <w:p>
            <w:pPr>
              <w:pStyle w:val="TableContents"/>
              <w:bidi w:val="0"/>
              <w:spacing w:before="0" w:after="283"/>
              <w:jc w:val="left"/>
              <w:rPr>
                <w:sz w:val="4"/>
                <w:szCs w:val="4"/>
              </w:rPr>
            </w:pPr>
            <w:r>
              <w:rPr>
                <w:sz w:val="4"/>
                <w:szCs w:val="4"/>
              </w:rPr>
            </w:r>
          </w:p>
        </w:tc>
      </w:tr>
      <w:tr>
        <w:trPr/>
        <w:tc>
          <w:tcPr>
            <w:tcW w:w="803" w:type="dxa"/>
            <w:tcBorders/>
          </w:tcPr>
          <w:p>
            <w:pPr>
              <w:pStyle w:val="TableContents"/>
              <w:bidi w:val="0"/>
              <w:spacing w:before="0" w:after="283"/>
              <w:jc w:val="left"/>
              <w:rPr/>
            </w:pPr>
            <w:r>
              <w:rPr/>
              <w:t> </w:t>
            </w:r>
            <w:r>
              <w:rPr/>
              <w:t>10.12</w:t>
            </w:r>
          </w:p>
        </w:tc>
        <w:tc>
          <w:tcPr>
            <w:tcW w:w="326" w:type="dxa"/>
            <w:tcBorders/>
            <w:vAlign w:val="bottom"/>
          </w:tcPr>
          <w:p>
            <w:pPr>
              <w:pStyle w:val="TableContents"/>
              <w:bidi w:val="0"/>
              <w:spacing w:before="0" w:after="283"/>
              <w:jc w:val="left"/>
              <w:rPr/>
            </w:pPr>
            <w:r>
              <w:rPr/>
              <w:t>  </w:t>
            </w:r>
          </w:p>
        </w:tc>
        <w:tc>
          <w:tcPr>
            <w:tcW w:w="3873" w:type="dxa"/>
            <w:tcBorders/>
          </w:tcPr>
          <w:p>
            <w:pPr>
              <w:pStyle w:val="TableContents"/>
              <w:bidi w:val="0"/>
              <w:spacing w:before="0" w:after="283"/>
              <w:jc w:val="left"/>
              <w:rPr/>
            </w:pPr>
            <w:hyperlink r:id="rId32">
              <w:r>
                <w:rPr>
                  <w:rStyle w:val="InternetLink"/>
                </w:rPr>
                <w:t xml:space="preserve">Form of Registration Rights Agreement, dated August 13, 2026, by and among MapLight Therapeutics, Inc. and the Purchasers </w:t>
              </w:r>
            </w:hyperlink>
          </w:p>
        </w:tc>
        <w:tc>
          <w:tcPr>
            <w:tcW w:w="199" w:type="dxa"/>
            <w:tcBorders/>
            <w:vAlign w:val="bottom"/>
          </w:tcPr>
          <w:p>
            <w:pPr>
              <w:pStyle w:val="TableContents"/>
              <w:bidi w:val="0"/>
              <w:spacing w:before="0" w:after="283"/>
              <w:jc w:val="left"/>
              <w:rPr/>
            </w:pPr>
            <w:r>
              <w:rPr/>
              <w:t>  </w:t>
            </w:r>
          </w:p>
        </w:tc>
        <w:tc>
          <w:tcPr>
            <w:tcW w:w="613" w:type="dxa"/>
            <w:tcBorders/>
          </w:tcPr>
          <w:p>
            <w:pPr>
              <w:pStyle w:val="TableContents"/>
              <w:bidi w:val="0"/>
              <w:spacing w:before="0" w:after="283"/>
              <w:jc w:val="center"/>
              <w:rPr/>
            </w:pPr>
            <w:r>
              <w:rPr/>
              <w:t>8-K</w:t>
            </w:r>
          </w:p>
        </w:tc>
        <w:tc>
          <w:tcPr>
            <w:tcW w:w="199" w:type="dxa"/>
            <w:tcBorders/>
            <w:vAlign w:val="bottom"/>
          </w:tcPr>
          <w:p>
            <w:pPr>
              <w:pStyle w:val="TableContents"/>
              <w:bidi w:val="0"/>
              <w:spacing w:before="0" w:after="283"/>
              <w:jc w:val="left"/>
              <w:rPr/>
            </w:pPr>
            <w:r>
              <w:rPr/>
              <w:t>  </w:t>
            </w:r>
          </w:p>
        </w:tc>
        <w:tc>
          <w:tcPr>
            <w:tcW w:w="957" w:type="dxa"/>
            <w:tcBorders/>
          </w:tcPr>
          <w:p>
            <w:pPr>
              <w:pStyle w:val="TableContents"/>
              <w:bidi w:val="0"/>
              <w:spacing w:before="0" w:after="283"/>
              <w:jc w:val="center"/>
              <w:rPr/>
            </w:pPr>
            <w:r>
              <w:rPr/>
              <w:t>001-42914</w:t>
            </w:r>
          </w:p>
        </w:tc>
        <w:tc>
          <w:tcPr>
            <w:tcW w:w="199" w:type="dxa"/>
            <w:tcBorders/>
            <w:vAlign w:val="bottom"/>
          </w:tcPr>
          <w:p>
            <w:pPr>
              <w:pStyle w:val="TableContents"/>
              <w:bidi w:val="0"/>
              <w:spacing w:before="0" w:after="283"/>
              <w:jc w:val="left"/>
              <w:rPr/>
            </w:pPr>
            <w:r>
              <w:rPr/>
              <w:t>  </w:t>
            </w:r>
          </w:p>
        </w:tc>
        <w:tc>
          <w:tcPr>
            <w:tcW w:w="786" w:type="dxa"/>
            <w:tcBorders/>
          </w:tcPr>
          <w:p>
            <w:pPr>
              <w:pStyle w:val="TableContents"/>
              <w:bidi w:val="0"/>
              <w:spacing w:before="0" w:after="283"/>
              <w:jc w:val="center"/>
              <w:rPr/>
            </w:pPr>
            <w:r>
              <w:rPr/>
              <w:t>10.2</w:t>
            </w:r>
          </w:p>
        </w:tc>
        <w:tc>
          <w:tcPr>
            <w:tcW w:w="198" w:type="dxa"/>
            <w:tcBorders/>
            <w:vAlign w:val="bottom"/>
          </w:tcPr>
          <w:p>
            <w:pPr>
              <w:pStyle w:val="TableContents"/>
              <w:bidi w:val="0"/>
              <w:spacing w:before="0" w:after="283"/>
              <w:jc w:val="left"/>
              <w:rPr/>
            </w:pPr>
            <w:r>
              <w:rPr/>
              <w:t>  </w:t>
            </w:r>
          </w:p>
        </w:tc>
        <w:tc>
          <w:tcPr>
            <w:tcW w:w="875" w:type="dxa"/>
            <w:tcBorders/>
          </w:tcPr>
          <w:p>
            <w:pPr>
              <w:pStyle w:val="TableContents"/>
              <w:bidi w:val="0"/>
              <w:spacing w:before="0" w:after="283"/>
              <w:jc w:val="center"/>
              <w:rPr/>
            </w:pPr>
            <w:r>
              <w:rPr/>
              <w:t>8/13/2026</w:t>
            </w:r>
          </w:p>
        </w:tc>
        <w:tc>
          <w:tcPr>
            <w:tcW w:w="199" w:type="dxa"/>
            <w:tcBorders/>
            <w:vAlign w:val="bottom"/>
          </w:tcPr>
          <w:p>
            <w:pPr>
              <w:pStyle w:val="TableContents"/>
              <w:bidi w:val="0"/>
              <w:spacing w:before="0" w:after="283"/>
              <w:jc w:val="left"/>
              <w:rPr/>
            </w:pPr>
            <w:r>
              <w:rPr/>
              <w:t>  </w:t>
            </w:r>
          </w:p>
        </w:tc>
        <w:tc>
          <w:tcPr>
            <w:tcW w:w="978" w:type="dxa"/>
            <w:tcBorders/>
          </w:tcPr>
          <w:p>
            <w:pPr>
              <w:pStyle w:val="TableContents"/>
              <w:bidi w:val="0"/>
              <w:spacing w:before="0" w:after="283"/>
              <w:jc w:val="left"/>
              <w:rPr>
                <w:sz w:val="4"/>
                <w:szCs w:val="4"/>
              </w:rPr>
            </w:pPr>
            <w:r>
              <w:rPr>
                <w:sz w:val="4"/>
                <w:szCs w:val="4"/>
              </w:rPr>
            </w:r>
          </w:p>
        </w:tc>
      </w:tr>
      <w:tr>
        <w:trPr>
          <w:trHeight w:val="120" w:hRule="atLeast"/>
        </w:trPr>
        <w:tc>
          <w:tcPr>
            <w:tcW w:w="803" w:type="dxa"/>
            <w:tcBorders/>
            <w:vAlign w:val="center"/>
          </w:tcPr>
          <w:p>
            <w:pPr>
              <w:pStyle w:val="TableContents"/>
              <w:bidi w:val="0"/>
              <w:spacing w:before="0" w:after="283"/>
              <w:jc w:val="left"/>
              <w:rPr>
                <w:sz w:val="4"/>
                <w:szCs w:val="4"/>
              </w:rPr>
            </w:pPr>
            <w:r>
              <w:rPr>
                <w:sz w:val="4"/>
                <w:szCs w:val="4"/>
              </w:rPr>
            </w:r>
          </w:p>
        </w:tc>
        <w:tc>
          <w:tcPr>
            <w:tcW w:w="4199" w:type="dxa"/>
            <w:gridSpan w:val="2"/>
            <w:tcBorders/>
            <w:vAlign w:val="center"/>
          </w:tcPr>
          <w:p>
            <w:pPr>
              <w:pStyle w:val="TableContents"/>
              <w:bidi w:val="0"/>
              <w:spacing w:before="0" w:after="283"/>
              <w:jc w:val="left"/>
              <w:rPr>
                <w:sz w:val="4"/>
                <w:szCs w:val="4"/>
              </w:rPr>
            </w:pPr>
            <w:r>
              <w:rPr>
                <w:sz w:val="4"/>
                <w:szCs w:val="4"/>
              </w:rPr>
            </w:r>
          </w:p>
        </w:tc>
        <w:tc>
          <w:tcPr>
            <w:tcW w:w="812" w:type="dxa"/>
            <w:gridSpan w:val="2"/>
            <w:tcBorders/>
            <w:vAlign w:val="center"/>
          </w:tcPr>
          <w:p>
            <w:pPr>
              <w:pStyle w:val="TableContents"/>
              <w:bidi w:val="0"/>
              <w:spacing w:before="0" w:after="283"/>
              <w:jc w:val="left"/>
              <w:rPr>
                <w:sz w:val="4"/>
                <w:szCs w:val="4"/>
              </w:rPr>
            </w:pPr>
            <w:r>
              <w:rPr>
                <w:sz w:val="4"/>
                <w:szCs w:val="4"/>
              </w:rPr>
            </w:r>
          </w:p>
        </w:tc>
        <w:tc>
          <w:tcPr>
            <w:tcW w:w="1156" w:type="dxa"/>
            <w:gridSpan w:val="2"/>
            <w:tcBorders/>
            <w:vAlign w:val="center"/>
          </w:tcPr>
          <w:p>
            <w:pPr>
              <w:pStyle w:val="TableContents"/>
              <w:bidi w:val="0"/>
              <w:spacing w:before="0" w:after="283"/>
              <w:jc w:val="left"/>
              <w:rPr>
                <w:sz w:val="4"/>
                <w:szCs w:val="4"/>
              </w:rPr>
            </w:pPr>
            <w:r>
              <w:rPr>
                <w:sz w:val="4"/>
                <w:szCs w:val="4"/>
              </w:rPr>
            </w:r>
          </w:p>
        </w:tc>
        <w:tc>
          <w:tcPr>
            <w:tcW w:w="985" w:type="dxa"/>
            <w:gridSpan w:val="2"/>
            <w:tcBorders/>
            <w:vAlign w:val="center"/>
          </w:tcPr>
          <w:p>
            <w:pPr>
              <w:pStyle w:val="TableContents"/>
              <w:bidi w:val="0"/>
              <w:spacing w:before="0" w:after="283"/>
              <w:jc w:val="left"/>
              <w:rPr>
                <w:sz w:val="4"/>
                <w:szCs w:val="4"/>
              </w:rPr>
            </w:pPr>
            <w:r>
              <w:rPr>
                <w:sz w:val="4"/>
                <w:szCs w:val="4"/>
              </w:rPr>
            </w:r>
          </w:p>
        </w:tc>
        <w:tc>
          <w:tcPr>
            <w:tcW w:w="1073" w:type="dxa"/>
            <w:gridSpan w:val="2"/>
            <w:tcBorders/>
            <w:vAlign w:val="center"/>
          </w:tcPr>
          <w:p>
            <w:pPr>
              <w:pStyle w:val="TableContents"/>
              <w:bidi w:val="0"/>
              <w:spacing w:before="0" w:after="283"/>
              <w:jc w:val="left"/>
              <w:rPr>
                <w:sz w:val="4"/>
                <w:szCs w:val="4"/>
              </w:rPr>
            </w:pPr>
            <w:r>
              <w:rPr>
                <w:sz w:val="4"/>
                <w:szCs w:val="4"/>
              </w:rPr>
            </w:r>
          </w:p>
        </w:tc>
        <w:tc>
          <w:tcPr>
            <w:tcW w:w="1177" w:type="dxa"/>
            <w:gridSpan w:val="2"/>
            <w:tcBorders/>
            <w:vAlign w:val="center"/>
          </w:tcPr>
          <w:p>
            <w:pPr>
              <w:pStyle w:val="TableContents"/>
              <w:bidi w:val="0"/>
              <w:spacing w:before="0" w:after="283"/>
              <w:jc w:val="left"/>
              <w:rPr>
                <w:sz w:val="4"/>
                <w:szCs w:val="4"/>
              </w:rPr>
            </w:pPr>
            <w:r>
              <w:rPr>
                <w:sz w:val="4"/>
                <w:szCs w:val="4"/>
              </w:rPr>
            </w:r>
          </w:p>
        </w:tc>
      </w:tr>
      <w:tr>
        <w:trPr/>
        <w:tc>
          <w:tcPr>
            <w:tcW w:w="803" w:type="dxa"/>
            <w:tcBorders/>
          </w:tcPr>
          <w:p>
            <w:pPr>
              <w:pStyle w:val="TableContents"/>
              <w:bidi w:val="0"/>
              <w:spacing w:before="0" w:after="283"/>
              <w:jc w:val="left"/>
              <w:rPr/>
            </w:pPr>
            <w:r>
              <w:rPr/>
              <w:t> </w:t>
            </w:r>
            <w:r>
              <w:rPr/>
              <w:t>21.1</w:t>
            </w:r>
          </w:p>
        </w:tc>
        <w:tc>
          <w:tcPr>
            <w:tcW w:w="326" w:type="dxa"/>
            <w:tcBorders/>
            <w:vAlign w:val="bottom"/>
          </w:tcPr>
          <w:p>
            <w:pPr>
              <w:pStyle w:val="TableContents"/>
              <w:bidi w:val="0"/>
              <w:spacing w:before="0" w:after="283"/>
              <w:jc w:val="left"/>
              <w:rPr/>
            </w:pPr>
            <w:r>
              <w:rPr/>
              <w:t>  </w:t>
            </w:r>
          </w:p>
        </w:tc>
        <w:tc>
          <w:tcPr>
            <w:tcW w:w="3873" w:type="dxa"/>
            <w:tcBorders/>
          </w:tcPr>
          <w:p>
            <w:pPr>
              <w:pStyle w:val="TableContents"/>
              <w:bidi w:val="0"/>
              <w:spacing w:before="0" w:after="283"/>
              <w:jc w:val="left"/>
              <w:rPr/>
            </w:pPr>
            <w:hyperlink r:id="rId33">
              <w:r>
                <w:rPr>
                  <w:rStyle w:val="InternetLink"/>
                </w:rPr>
                <w:t>List of Subsidiaries</w:t>
              </w:r>
            </w:hyperlink>
          </w:p>
        </w:tc>
        <w:tc>
          <w:tcPr>
            <w:tcW w:w="199" w:type="dxa"/>
            <w:tcBorders/>
            <w:vAlign w:val="bottom"/>
          </w:tcPr>
          <w:p>
            <w:pPr>
              <w:pStyle w:val="TableContents"/>
              <w:bidi w:val="0"/>
              <w:spacing w:before="0" w:after="283"/>
              <w:jc w:val="left"/>
              <w:rPr/>
            </w:pPr>
            <w:r>
              <w:rPr/>
              <w:t>  </w:t>
            </w:r>
          </w:p>
        </w:tc>
        <w:tc>
          <w:tcPr>
            <w:tcW w:w="613" w:type="dxa"/>
            <w:tcBorders/>
          </w:tcPr>
          <w:p>
            <w:pPr>
              <w:pStyle w:val="TableContents"/>
              <w:bidi w:val="0"/>
              <w:spacing w:before="0" w:after="283"/>
              <w:jc w:val="center"/>
              <w:rPr/>
            </w:pPr>
            <w:r>
              <w:rPr/>
              <w:t>S-1</w:t>
            </w:r>
          </w:p>
        </w:tc>
        <w:tc>
          <w:tcPr>
            <w:tcW w:w="199" w:type="dxa"/>
            <w:tcBorders/>
            <w:vAlign w:val="bottom"/>
          </w:tcPr>
          <w:p>
            <w:pPr>
              <w:pStyle w:val="TableContents"/>
              <w:bidi w:val="0"/>
              <w:spacing w:before="0" w:after="283"/>
              <w:jc w:val="left"/>
              <w:rPr/>
            </w:pPr>
            <w:r>
              <w:rPr/>
              <w:t>  </w:t>
            </w:r>
          </w:p>
        </w:tc>
        <w:tc>
          <w:tcPr>
            <w:tcW w:w="957" w:type="dxa"/>
            <w:tcBorders/>
          </w:tcPr>
          <w:p>
            <w:pPr>
              <w:pStyle w:val="TableContents"/>
              <w:bidi w:val="0"/>
              <w:spacing w:before="0" w:after="283"/>
              <w:jc w:val="center"/>
              <w:rPr/>
            </w:pPr>
            <w:r>
              <w:rPr/>
              <w:t>333-298837</w:t>
            </w:r>
          </w:p>
        </w:tc>
        <w:tc>
          <w:tcPr>
            <w:tcW w:w="199" w:type="dxa"/>
            <w:tcBorders/>
            <w:vAlign w:val="bottom"/>
          </w:tcPr>
          <w:p>
            <w:pPr>
              <w:pStyle w:val="TableContents"/>
              <w:bidi w:val="0"/>
              <w:spacing w:before="0" w:after="283"/>
              <w:jc w:val="left"/>
              <w:rPr/>
            </w:pPr>
            <w:r>
              <w:rPr/>
              <w:t>  </w:t>
            </w:r>
          </w:p>
        </w:tc>
        <w:tc>
          <w:tcPr>
            <w:tcW w:w="786" w:type="dxa"/>
            <w:tcBorders/>
          </w:tcPr>
          <w:p>
            <w:pPr>
              <w:pStyle w:val="TableContents"/>
              <w:bidi w:val="0"/>
              <w:spacing w:before="0" w:after="283"/>
              <w:jc w:val="center"/>
              <w:rPr/>
            </w:pPr>
            <w:r>
              <w:rPr/>
              <w:t>21.1</w:t>
            </w:r>
          </w:p>
        </w:tc>
        <w:tc>
          <w:tcPr>
            <w:tcW w:w="198" w:type="dxa"/>
            <w:tcBorders/>
            <w:vAlign w:val="bottom"/>
          </w:tcPr>
          <w:p>
            <w:pPr>
              <w:pStyle w:val="TableContents"/>
              <w:bidi w:val="0"/>
              <w:spacing w:before="0" w:after="283"/>
              <w:jc w:val="left"/>
              <w:rPr/>
            </w:pPr>
            <w:r>
              <w:rPr/>
              <w:t>  </w:t>
            </w:r>
          </w:p>
        </w:tc>
        <w:tc>
          <w:tcPr>
            <w:tcW w:w="875" w:type="dxa"/>
            <w:tcBorders/>
          </w:tcPr>
          <w:p>
            <w:pPr>
              <w:pStyle w:val="TableContents"/>
              <w:bidi w:val="0"/>
              <w:spacing w:before="0" w:after="283"/>
              <w:jc w:val="center"/>
              <w:rPr/>
            </w:pPr>
            <w:r>
              <w:rPr/>
              <w:t>9/6/2026</w:t>
            </w:r>
          </w:p>
        </w:tc>
        <w:tc>
          <w:tcPr>
            <w:tcW w:w="199" w:type="dxa"/>
            <w:tcBorders/>
            <w:vAlign w:val="bottom"/>
          </w:tcPr>
          <w:p>
            <w:pPr>
              <w:pStyle w:val="TableContents"/>
              <w:bidi w:val="0"/>
              <w:spacing w:before="0" w:after="283"/>
              <w:jc w:val="left"/>
              <w:rPr/>
            </w:pPr>
            <w:r>
              <w:rPr/>
              <w:t>  </w:t>
            </w:r>
          </w:p>
        </w:tc>
        <w:tc>
          <w:tcPr>
            <w:tcW w:w="978" w:type="dxa"/>
            <w:tcBorders/>
          </w:tcPr>
          <w:p>
            <w:pPr>
              <w:pStyle w:val="TableContents"/>
              <w:bidi w:val="0"/>
              <w:spacing w:before="0" w:after="283"/>
              <w:jc w:val="left"/>
              <w:rPr>
                <w:sz w:val="4"/>
                <w:szCs w:val="4"/>
              </w:rPr>
            </w:pPr>
            <w:r>
              <w:rPr>
                <w:sz w:val="4"/>
                <w:szCs w:val="4"/>
              </w:rPr>
            </w:r>
          </w:p>
        </w:tc>
      </w:tr>
      <w:tr>
        <w:trPr>
          <w:trHeight w:val="120" w:hRule="atLeast"/>
        </w:trPr>
        <w:tc>
          <w:tcPr>
            <w:tcW w:w="803" w:type="dxa"/>
            <w:tcBorders/>
            <w:vAlign w:val="center"/>
          </w:tcPr>
          <w:p>
            <w:pPr>
              <w:pStyle w:val="TableContents"/>
              <w:bidi w:val="0"/>
              <w:spacing w:before="0" w:after="283"/>
              <w:jc w:val="left"/>
              <w:rPr>
                <w:sz w:val="4"/>
                <w:szCs w:val="4"/>
              </w:rPr>
            </w:pPr>
            <w:r>
              <w:rPr>
                <w:sz w:val="4"/>
                <w:szCs w:val="4"/>
              </w:rPr>
            </w:r>
          </w:p>
        </w:tc>
        <w:tc>
          <w:tcPr>
            <w:tcW w:w="4199" w:type="dxa"/>
            <w:gridSpan w:val="2"/>
            <w:tcBorders/>
            <w:vAlign w:val="center"/>
          </w:tcPr>
          <w:p>
            <w:pPr>
              <w:pStyle w:val="TableContents"/>
              <w:bidi w:val="0"/>
              <w:spacing w:before="0" w:after="283"/>
              <w:jc w:val="left"/>
              <w:rPr>
                <w:sz w:val="4"/>
                <w:szCs w:val="4"/>
              </w:rPr>
            </w:pPr>
            <w:r>
              <w:rPr>
                <w:sz w:val="4"/>
                <w:szCs w:val="4"/>
              </w:rPr>
            </w:r>
          </w:p>
        </w:tc>
        <w:tc>
          <w:tcPr>
            <w:tcW w:w="812" w:type="dxa"/>
            <w:gridSpan w:val="2"/>
            <w:tcBorders/>
            <w:vAlign w:val="center"/>
          </w:tcPr>
          <w:p>
            <w:pPr>
              <w:pStyle w:val="TableContents"/>
              <w:bidi w:val="0"/>
              <w:spacing w:before="0" w:after="283"/>
              <w:jc w:val="left"/>
              <w:rPr>
                <w:sz w:val="4"/>
                <w:szCs w:val="4"/>
              </w:rPr>
            </w:pPr>
            <w:r>
              <w:rPr>
                <w:sz w:val="4"/>
                <w:szCs w:val="4"/>
              </w:rPr>
            </w:r>
          </w:p>
        </w:tc>
        <w:tc>
          <w:tcPr>
            <w:tcW w:w="1156" w:type="dxa"/>
            <w:gridSpan w:val="2"/>
            <w:tcBorders/>
            <w:vAlign w:val="center"/>
          </w:tcPr>
          <w:p>
            <w:pPr>
              <w:pStyle w:val="TableContents"/>
              <w:bidi w:val="0"/>
              <w:spacing w:before="0" w:after="283"/>
              <w:jc w:val="left"/>
              <w:rPr>
                <w:sz w:val="4"/>
                <w:szCs w:val="4"/>
              </w:rPr>
            </w:pPr>
            <w:r>
              <w:rPr>
                <w:sz w:val="4"/>
                <w:szCs w:val="4"/>
              </w:rPr>
            </w:r>
          </w:p>
        </w:tc>
        <w:tc>
          <w:tcPr>
            <w:tcW w:w="985" w:type="dxa"/>
            <w:gridSpan w:val="2"/>
            <w:tcBorders/>
            <w:vAlign w:val="center"/>
          </w:tcPr>
          <w:p>
            <w:pPr>
              <w:pStyle w:val="TableContents"/>
              <w:bidi w:val="0"/>
              <w:spacing w:before="0" w:after="283"/>
              <w:jc w:val="left"/>
              <w:rPr>
                <w:sz w:val="4"/>
                <w:szCs w:val="4"/>
              </w:rPr>
            </w:pPr>
            <w:r>
              <w:rPr>
                <w:sz w:val="4"/>
                <w:szCs w:val="4"/>
              </w:rPr>
            </w:r>
          </w:p>
        </w:tc>
        <w:tc>
          <w:tcPr>
            <w:tcW w:w="1073" w:type="dxa"/>
            <w:gridSpan w:val="2"/>
            <w:tcBorders/>
            <w:vAlign w:val="center"/>
          </w:tcPr>
          <w:p>
            <w:pPr>
              <w:pStyle w:val="TableContents"/>
              <w:bidi w:val="0"/>
              <w:spacing w:before="0" w:after="283"/>
              <w:jc w:val="left"/>
              <w:rPr>
                <w:sz w:val="4"/>
                <w:szCs w:val="4"/>
              </w:rPr>
            </w:pPr>
            <w:r>
              <w:rPr>
                <w:sz w:val="4"/>
                <w:szCs w:val="4"/>
              </w:rPr>
            </w:r>
          </w:p>
        </w:tc>
        <w:tc>
          <w:tcPr>
            <w:tcW w:w="1177" w:type="dxa"/>
            <w:gridSpan w:val="2"/>
            <w:tcBorders/>
            <w:vAlign w:val="center"/>
          </w:tcPr>
          <w:p>
            <w:pPr>
              <w:pStyle w:val="TableContents"/>
              <w:bidi w:val="0"/>
              <w:spacing w:before="0" w:after="283"/>
              <w:jc w:val="left"/>
              <w:rPr>
                <w:sz w:val="4"/>
                <w:szCs w:val="4"/>
              </w:rPr>
            </w:pPr>
            <w:r>
              <w:rPr>
                <w:sz w:val="4"/>
                <w:szCs w:val="4"/>
              </w:rPr>
            </w:r>
          </w:p>
        </w:tc>
      </w:tr>
      <w:tr>
        <w:trPr/>
        <w:tc>
          <w:tcPr>
            <w:tcW w:w="803" w:type="dxa"/>
            <w:tcBorders/>
          </w:tcPr>
          <w:p>
            <w:pPr>
              <w:pStyle w:val="TableContents"/>
              <w:bidi w:val="0"/>
              <w:spacing w:before="0" w:after="283"/>
              <w:jc w:val="left"/>
              <w:rPr/>
            </w:pPr>
            <w:r>
              <w:rPr/>
              <w:t> </w:t>
            </w:r>
            <w:r>
              <w:rPr/>
              <w:t>23.1</w:t>
            </w:r>
          </w:p>
        </w:tc>
        <w:tc>
          <w:tcPr>
            <w:tcW w:w="326" w:type="dxa"/>
            <w:tcBorders/>
            <w:vAlign w:val="bottom"/>
          </w:tcPr>
          <w:p>
            <w:pPr>
              <w:pStyle w:val="TableContents"/>
              <w:bidi w:val="0"/>
              <w:spacing w:before="0" w:after="283"/>
              <w:jc w:val="left"/>
              <w:rPr/>
            </w:pPr>
            <w:r>
              <w:rPr/>
              <w:t>  </w:t>
            </w:r>
          </w:p>
        </w:tc>
        <w:tc>
          <w:tcPr>
            <w:tcW w:w="3873" w:type="dxa"/>
            <w:tcBorders/>
          </w:tcPr>
          <w:p>
            <w:pPr>
              <w:pStyle w:val="TableContents"/>
              <w:bidi w:val="0"/>
              <w:spacing w:before="0" w:after="283"/>
              <w:jc w:val="left"/>
              <w:rPr/>
            </w:pPr>
            <w:hyperlink w:anchor="d546679dex231.htm">
              <w:r>
                <w:rPr>
                  <w:rStyle w:val="InternetLink"/>
                </w:rPr>
                <w:t xml:space="preserve">Consent of RSM US LLP, independent registered public accounting firm </w:t>
              </w:r>
            </w:hyperlink>
          </w:p>
        </w:tc>
        <w:tc>
          <w:tcPr>
            <w:tcW w:w="199" w:type="dxa"/>
            <w:tcBorders/>
            <w:vAlign w:val="bottom"/>
          </w:tcPr>
          <w:p>
            <w:pPr>
              <w:pStyle w:val="TableContents"/>
              <w:bidi w:val="0"/>
              <w:spacing w:before="0" w:after="283"/>
              <w:jc w:val="left"/>
              <w:rPr/>
            </w:pPr>
            <w:r>
              <w:rPr/>
              <w:t>  </w:t>
            </w:r>
          </w:p>
        </w:tc>
        <w:tc>
          <w:tcPr>
            <w:tcW w:w="613" w:type="dxa"/>
            <w:tcBorders/>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957" w:type="dxa"/>
            <w:tcBorders/>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786" w:type="dxa"/>
            <w:tcBorders/>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pPr>
            <w:r>
              <w:rPr/>
              <w:t>  </w:t>
            </w:r>
          </w:p>
        </w:tc>
        <w:tc>
          <w:tcPr>
            <w:tcW w:w="875" w:type="dxa"/>
            <w:tcBorders/>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978" w:type="dxa"/>
            <w:tcBorders/>
          </w:tcPr>
          <w:p>
            <w:pPr>
              <w:pStyle w:val="TableContents"/>
              <w:bidi w:val="0"/>
              <w:spacing w:before="0" w:after="283"/>
              <w:jc w:val="center"/>
              <w:rPr/>
            </w:pPr>
            <w:r>
              <w:rPr/>
              <w:t>X</w:t>
            </w:r>
          </w:p>
        </w:tc>
      </w:tr>
      <w:tr>
        <w:trPr>
          <w:trHeight w:val="120" w:hRule="atLeast"/>
        </w:trPr>
        <w:tc>
          <w:tcPr>
            <w:tcW w:w="803" w:type="dxa"/>
            <w:tcBorders/>
            <w:vAlign w:val="center"/>
          </w:tcPr>
          <w:p>
            <w:pPr>
              <w:pStyle w:val="TableContents"/>
              <w:bidi w:val="0"/>
              <w:spacing w:before="0" w:after="283"/>
              <w:jc w:val="left"/>
              <w:rPr>
                <w:sz w:val="4"/>
                <w:szCs w:val="4"/>
              </w:rPr>
            </w:pPr>
            <w:r>
              <w:rPr>
                <w:sz w:val="4"/>
                <w:szCs w:val="4"/>
              </w:rPr>
            </w:r>
          </w:p>
        </w:tc>
        <w:tc>
          <w:tcPr>
            <w:tcW w:w="4199" w:type="dxa"/>
            <w:gridSpan w:val="2"/>
            <w:tcBorders/>
            <w:vAlign w:val="center"/>
          </w:tcPr>
          <w:p>
            <w:pPr>
              <w:pStyle w:val="TableContents"/>
              <w:bidi w:val="0"/>
              <w:spacing w:before="0" w:after="283"/>
              <w:jc w:val="left"/>
              <w:rPr>
                <w:sz w:val="4"/>
                <w:szCs w:val="4"/>
              </w:rPr>
            </w:pPr>
            <w:r>
              <w:rPr>
                <w:sz w:val="4"/>
                <w:szCs w:val="4"/>
              </w:rPr>
            </w:r>
          </w:p>
        </w:tc>
        <w:tc>
          <w:tcPr>
            <w:tcW w:w="812" w:type="dxa"/>
            <w:gridSpan w:val="2"/>
            <w:tcBorders/>
            <w:vAlign w:val="center"/>
          </w:tcPr>
          <w:p>
            <w:pPr>
              <w:pStyle w:val="TableContents"/>
              <w:bidi w:val="0"/>
              <w:spacing w:before="0" w:after="283"/>
              <w:jc w:val="left"/>
              <w:rPr>
                <w:sz w:val="4"/>
                <w:szCs w:val="4"/>
              </w:rPr>
            </w:pPr>
            <w:r>
              <w:rPr>
                <w:sz w:val="4"/>
                <w:szCs w:val="4"/>
              </w:rPr>
            </w:r>
          </w:p>
        </w:tc>
        <w:tc>
          <w:tcPr>
            <w:tcW w:w="1156" w:type="dxa"/>
            <w:gridSpan w:val="2"/>
            <w:tcBorders/>
            <w:vAlign w:val="center"/>
          </w:tcPr>
          <w:p>
            <w:pPr>
              <w:pStyle w:val="TableContents"/>
              <w:bidi w:val="0"/>
              <w:spacing w:before="0" w:after="283"/>
              <w:jc w:val="left"/>
              <w:rPr>
                <w:sz w:val="4"/>
                <w:szCs w:val="4"/>
              </w:rPr>
            </w:pPr>
            <w:r>
              <w:rPr>
                <w:sz w:val="4"/>
                <w:szCs w:val="4"/>
              </w:rPr>
            </w:r>
          </w:p>
        </w:tc>
        <w:tc>
          <w:tcPr>
            <w:tcW w:w="985" w:type="dxa"/>
            <w:gridSpan w:val="2"/>
            <w:tcBorders/>
            <w:vAlign w:val="center"/>
          </w:tcPr>
          <w:p>
            <w:pPr>
              <w:pStyle w:val="TableContents"/>
              <w:bidi w:val="0"/>
              <w:spacing w:before="0" w:after="283"/>
              <w:jc w:val="left"/>
              <w:rPr>
                <w:sz w:val="4"/>
                <w:szCs w:val="4"/>
              </w:rPr>
            </w:pPr>
            <w:r>
              <w:rPr>
                <w:sz w:val="4"/>
                <w:szCs w:val="4"/>
              </w:rPr>
            </w:r>
          </w:p>
        </w:tc>
        <w:tc>
          <w:tcPr>
            <w:tcW w:w="1073" w:type="dxa"/>
            <w:gridSpan w:val="2"/>
            <w:tcBorders/>
            <w:vAlign w:val="center"/>
          </w:tcPr>
          <w:p>
            <w:pPr>
              <w:pStyle w:val="TableContents"/>
              <w:bidi w:val="0"/>
              <w:spacing w:before="0" w:after="283"/>
              <w:jc w:val="left"/>
              <w:rPr>
                <w:sz w:val="4"/>
                <w:szCs w:val="4"/>
              </w:rPr>
            </w:pPr>
            <w:r>
              <w:rPr>
                <w:sz w:val="4"/>
                <w:szCs w:val="4"/>
              </w:rPr>
            </w:r>
          </w:p>
        </w:tc>
        <w:tc>
          <w:tcPr>
            <w:tcW w:w="1177" w:type="dxa"/>
            <w:gridSpan w:val="2"/>
            <w:tcBorders/>
            <w:vAlign w:val="center"/>
          </w:tcPr>
          <w:p>
            <w:pPr>
              <w:pStyle w:val="TableContents"/>
              <w:bidi w:val="0"/>
              <w:spacing w:before="0" w:after="283"/>
              <w:jc w:val="left"/>
              <w:rPr>
                <w:sz w:val="4"/>
                <w:szCs w:val="4"/>
              </w:rPr>
            </w:pPr>
            <w:r>
              <w:rPr>
                <w:sz w:val="4"/>
                <w:szCs w:val="4"/>
              </w:rPr>
            </w:r>
          </w:p>
        </w:tc>
      </w:tr>
      <w:tr>
        <w:trPr/>
        <w:tc>
          <w:tcPr>
            <w:tcW w:w="803" w:type="dxa"/>
            <w:tcBorders/>
          </w:tcPr>
          <w:p>
            <w:pPr>
              <w:pStyle w:val="TableContents"/>
              <w:bidi w:val="0"/>
              <w:spacing w:before="0" w:after="283"/>
              <w:jc w:val="left"/>
              <w:rPr/>
            </w:pPr>
            <w:r>
              <w:rPr/>
              <w:t> </w:t>
            </w:r>
            <w:r>
              <w:rPr/>
              <w:t>23.2</w:t>
            </w:r>
          </w:p>
        </w:tc>
        <w:tc>
          <w:tcPr>
            <w:tcW w:w="326" w:type="dxa"/>
            <w:tcBorders/>
            <w:vAlign w:val="bottom"/>
          </w:tcPr>
          <w:p>
            <w:pPr>
              <w:pStyle w:val="TableContents"/>
              <w:bidi w:val="0"/>
              <w:spacing w:before="0" w:after="283"/>
              <w:jc w:val="left"/>
              <w:rPr/>
            </w:pPr>
            <w:r>
              <w:rPr/>
              <w:t>  </w:t>
            </w:r>
          </w:p>
        </w:tc>
        <w:tc>
          <w:tcPr>
            <w:tcW w:w="3873" w:type="dxa"/>
            <w:tcBorders/>
          </w:tcPr>
          <w:p>
            <w:pPr>
              <w:pStyle w:val="TableContents"/>
              <w:bidi w:val="0"/>
              <w:spacing w:before="0" w:after="283"/>
              <w:jc w:val="left"/>
              <w:rPr/>
            </w:pPr>
            <w:hyperlink r:id="rId34">
              <w:r>
                <w:rPr>
                  <w:rStyle w:val="InternetLink"/>
                </w:rPr>
                <w:t xml:space="preserve">Consent of Cooley LLP (included in Exhibit 5.1) </w:t>
              </w:r>
            </w:hyperlink>
          </w:p>
        </w:tc>
        <w:tc>
          <w:tcPr>
            <w:tcW w:w="199" w:type="dxa"/>
            <w:tcBorders/>
            <w:vAlign w:val="bottom"/>
          </w:tcPr>
          <w:p>
            <w:pPr>
              <w:pStyle w:val="TableContents"/>
              <w:bidi w:val="0"/>
              <w:spacing w:before="0" w:after="283"/>
              <w:jc w:val="left"/>
              <w:rPr/>
            </w:pPr>
            <w:r>
              <w:rPr/>
              <w:t>  </w:t>
            </w:r>
          </w:p>
        </w:tc>
        <w:tc>
          <w:tcPr>
            <w:tcW w:w="613" w:type="dxa"/>
            <w:tcBorders/>
          </w:tcPr>
          <w:p>
            <w:pPr>
              <w:pStyle w:val="TableContents"/>
              <w:bidi w:val="0"/>
              <w:spacing w:before="0" w:after="283"/>
              <w:jc w:val="center"/>
              <w:rPr/>
            </w:pPr>
            <w:r>
              <w:rPr/>
              <w:t>S-1</w:t>
            </w:r>
          </w:p>
        </w:tc>
        <w:tc>
          <w:tcPr>
            <w:tcW w:w="199" w:type="dxa"/>
            <w:tcBorders/>
            <w:vAlign w:val="bottom"/>
          </w:tcPr>
          <w:p>
            <w:pPr>
              <w:pStyle w:val="TableContents"/>
              <w:bidi w:val="0"/>
              <w:spacing w:before="0" w:after="283"/>
              <w:jc w:val="left"/>
              <w:rPr/>
            </w:pPr>
            <w:r>
              <w:rPr/>
              <w:t>  </w:t>
            </w:r>
          </w:p>
        </w:tc>
        <w:tc>
          <w:tcPr>
            <w:tcW w:w="957" w:type="dxa"/>
            <w:tcBorders/>
          </w:tcPr>
          <w:p>
            <w:pPr>
              <w:pStyle w:val="TableContents"/>
              <w:bidi w:val="0"/>
              <w:spacing w:before="0" w:after="283"/>
              <w:jc w:val="center"/>
              <w:rPr/>
            </w:pPr>
            <w:r>
              <w:rPr/>
              <w:t>333-298837</w:t>
            </w:r>
          </w:p>
        </w:tc>
        <w:tc>
          <w:tcPr>
            <w:tcW w:w="199" w:type="dxa"/>
            <w:tcBorders/>
            <w:vAlign w:val="bottom"/>
          </w:tcPr>
          <w:p>
            <w:pPr>
              <w:pStyle w:val="TableContents"/>
              <w:bidi w:val="0"/>
              <w:spacing w:before="0" w:after="283"/>
              <w:jc w:val="left"/>
              <w:rPr/>
            </w:pPr>
            <w:r>
              <w:rPr/>
              <w:t>  </w:t>
            </w:r>
          </w:p>
        </w:tc>
        <w:tc>
          <w:tcPr>
            <w:tcW w:w="786" w:type="dxa"/>
            <w:tcBorders/>
          </w:tcPr>
          <w:p>
            <w:pPr>
              <w:pStyle w:val="TableContents"/>
              <w:bidi w:val="0"/>
              <w:spacing w:before="0" w:after="283"/>
              <w:jc w:val="center"/>
              <w:rPr/>
            </w:pPr>
            <w:r>
              <w:rPr/>
              <w:t>23.2</w:t>
            </w:r>
          </w:p>
        </w:tc>
        <w:tc>
          <w:tcPr>
            <w:tcW w:w="198" w:type="dxa"/>
            <w:tcBorders/>
            <w:vAlign w:val="bottom"/>
          </w:tcPr>
          <w:p>
            <w:pPr>
              <w:pStyle w:val="TableContents"/>
              <w:bidi w:val="0"/>
              <w:spacing w:before="0" w:after="283"/>
              <w:jc w:val="left"/>
              <w:rPr/>
            </w:pPr>
            <w:r>
              <w:rPr/>
              <w:t>  </w:t>
            </w:r>
          </w:p>
        </w:tc>
        <w:tc>
          <w:tcPr>
            <w:tcW w:w="875" w:type="dxa"/>
            <w:tcBorders/>
          </w:tcPr>
          <w:p>
            <w:pPr>
              <w:pStyle w:val="TableContents"/>
              <w:bidi w:val="0"/>
              <w:spacing w:before="0" w:after="283"/>
              <w:jc w:val="center"/>
              <w:rPr/>
            </w:pPr>
            <w:r>
              <w:rPr/>
              <w:t>9/6/2026</w:t>
            </w:r>
          </w:p>
        </w:tc>
        <w:tc>
          <w:tcPr>
            <w:tcW w:w="199" w:type="dxa"/>
            <w:tcBorders/>
            <w:vAlign w:val="bottom"/>
          </w:tcPr>
          <w:p>
            <w:pPr>
              <w:pStyle w:val="TableContents"/>
              <w:bidi w:val="0"/>
              <w:spacing w:before="0" w:after="283"/>
              <w:jc w:val="left"/>
              <w:rPr/>
            </w:pPr>
            <w:r>
              <w:rPr/>
              <w:t>  </w:t>
            </w:r>
          </w:p>
        </w:tc>
        <w:tc>
          <w:tcPr>
            <w:tcW w:w="978" w:type="dxa"/>
            <w:tcBorders/>
          </w:tcPr>
          <w:p>
            <w:pPr>
              <w:pStyle w:val="TableContents"/>
              <w:bidi w:val="0"/>
              <w:spacing w:before="0" w:after="283"/>
              <w:jc w:val="left"/>
              <w:rPr>
                <w:sz w:val="4"/>
                <w:szCs w:val="4"/>
              </w:rPr>
            </w:pPr>
            <w:r>
              <w:rPr>
                <w:sz w:val="4"/>
                <w:szCs w:val="4"/>
              </w:rPr>
            </w:r>
          </w:p>
        </w:tc>
      </w:tr>
      <w:tr>
        <w:trPr>
          <w:trHeight w:val="120" w:hRule="atLeast"/>
        </w:trPr>
        <w:tc>
          <w:tcPr>
            <w:tcW w:w="803" w:type="dxa"/>
            <w:tcBorders/>
            <w:vAlign w:val="center"/>
          </w:tcPr>
          <w:p>
            <w:pPr>
              <w:pStyle w:val="TableContents"/>
              <w:bidi w:val="0"/>
              <w:spacing w:before="0" w:after="283"/>
              <w:jc w:val="left"/>
              <w:rPr>
                <w:sz w:val="4"/>
                <w:szCs w:val="4"/>
              </w:rPr>
            </w:pPr>
            <w:r>
              <w:rPr>
                <w:sz w:val="4"/>
                <w:szCs w:val="4"/>
              </w:rPr>
            </w:r>
          </w:p>
        </w:tc>
        <w:tc>
          <w:tcPr>
            <w:tcW w:w="4199" w:type="dxa"/>
            <w:gridSpan w:val="2"/>
            <w:tcBorders/>
            <w:vAlign w:val="center"/>
          </w:tcPr>
          <w:p>
            <w:pPr>
              <w:pStyle w:val="TableContents"/>
              <w:bidi w:val="0"/>
              <w:spacing w:before="0" w:after="283"/>
              <w:jc w:val="left"/>
              <w:rPr>
                <w:sz w:val="4"/>
                <w:szCs w:val="4"/>
              </w:rPr>
            </w:pPr>
            <w:r>
              <w:rPr>
                <w:sz w:val="4"/>
                <w:szCs w:val="4"/>
              </w:rPr>
            </w:r>
          </w:p>
        </w:tc>
        <w:tc>
          <w:tcPr>
            <w:tcW w:w="812" w:type="dxa"/>
            <w:gridSpan w:val="2"/>
            <w:tcBorders/>
            <w:vAlign w:val="center"/>
          </w:tcPr>
          <w:p>
            <w:pPr>
              <w:pStyle w:val="TableContents"/>
              <w:bidi w:val="0"/>
              <w:spacing w:before="0" w:after="283"/>
              <w:jc w:val="left"/>
              <w:rPr>
                <w:sz w:val="4"/>
                <w:szCs w:val="4"/>
              </w:rPr>
            </w:pPr>
            <w:r>
              <w:rPr>
                <w:sz w:val="4"/>
                <w:szCs w:val="4"/>
              </w:rPr>
            </w:r>
          </w:p>
        </w:tc>
        <w:tc>
          <w:tcPr>
            <w:tcW w:w="1156" w:type="dxa"/>
            <w:gridSpan w:val="2"/>
            <w:tcBorders/>
            <w:vAlign w:val="center"/>
          </w:tcPr>
          <w:p>
            <w:pPr>
              <w:pStyle w:val="TableContents"/>
              <w:bidi w:val="0"/>
              <w:spacing w:before="0" w:after="283"/>
              <w:jc w:val="left"/>
              <w:rPr>
                <w:sz w:val="4"/>
                <w:szCs w:val="4"/>
              </w:rPr>
            </w:pPr>
            <w:r>
              <w:rPr>
                <w:sz w:val="4"/>
                <w:szCs w:val="4"/>
              </w:rPr>
            </w:r>
          </w:p>
        </w:tc>
        <w:tc>
          <w:tcPr>
            <w:tcW w:w="985" w:type="dxa"/>
            <w:gridSpan w:val="2"/>
            <w:tcBorders/>
            <w:vAlign w:val="center"/>
          </w:tcPr>
          <w:p>
            <w:pPr>
              <w:pStyle w:val="TableContents"/>
              <w:bidi w:val="0"/>
              <w:spacing w:before="0" w:after="283"/>
              <w:jc w:val="left"/>
              <w:rPr>
                <w:sz w:val="4"/>
                <w:szCs w:val="4"/>
              </w:rPr>
            </w:pPr>
            <w:r>
              <w:rPr>
                <w:sz w:val="4"/>
                <w:szCs w:val="4"/>
              </w:rPr>
            </w:r>
          </w:p>
        </w:tc>
        <w:tc>
          <w:tcPr>
            <w:tcW w:w="1073" w:type="dxa"/>
            <w:gridSpan w:val="2"/>
            <w:tcBorders/>
            <w:vAlign w:val="center"/>
          </w:tcPr>
          <w:p>
            <w:pPr>
              <w:pStyle w:val="TableContents"/>
              <w:bidi w:val="0"/>
              <w:spacing w:before="0" w:after="283"/>
              <w:jc w:val="left"/>
              <w:rPr>
                <w:sz w:val="4"/>
                <w:szCs w:val="4"/>
              </w:rPr>
            </w:pPr>
            <w:r>
              <w:rPr>
                <w:sz w:val="4"/>
                <w:szCs w:val="4"/>
              </w:rPr>
            </w:r>
          </w:p>
        </w:tc>
        <w:tc>
          <w:tcPr>
            <w:tcW w:w="1177" w:type="dxa"/>
            <w:gridSpan w:val="2"/>
            <w:tcBorders/>
            <w:vAlign w:val="center"/>
          </w:tcPr>
          <w:p>
            <w:pPr>
              <w:pStyle w:val="TableContents"/>
              <w:bidi w:val="0"/>
              <w:spacing w:before="0" w:after="283"/>
              <w:jc w:val="left"/>
              <w:rPr>
                <w:sz w:val="4"/>
                <w:szCs w:val="4"/>
              </w:rPr>
            </w:pPr>
            <w:r>
              <w:rPr>
                <w:sz w:val="4"/>
                <w:szCs w:val="4"/>
              </w:rPr>
            </w:r>
          </w:p>
        </w:tc>
      </w:tr>
      <w:tr>
        <w:trPr/>
        <w:tc>
          <w:tcPr>
            <w:tcW w:w="803" w:type="dxa"/>
            <w:tcBorders/>
          </w:tcPr>
          <w:p>
            <w:pPr>
              <w:pStyle w:val="TableContents"/>
              <w:bidi w:val="0"/>
              <w:spacing w:before="0" w:after="283"/>
              <w:jc w:val="left"/>
              <w:rPr/>
            </w:pPr>
            <w:r>
              <w:rPr/>
              <w:t> </w:t>
            </w:r>
            <w:r>
              <w:rPr/>
              <w:t>24.1</w:t>
            </w:r>
          </w:p>
        </w:tc>
        <w:tc>
          <w:tcPr>
            <w:tcW w:w="326" w:type="dxa"/>
            <w:tcBorders/>
            <w:vAlign w:val="bottom"/>
          </w:tcPr>
          <w:p>
            <w:pPr>
              <w:pStyle w:val="TableContents"/>
              <w:bidi w:val="0"/>
              <w:spacing w:before="0" w:after="283"/>
              <w:jc w:val="left"/>
              <w:rPr/>
            </w:pPr>
            <w:r>
              <w:rPr/>
              <w:t>  </w:t>
            </w:r>
          </w:p>
        </w:tc>
        <w:tc>
          <w:tcPr>
            <w:tcW w:w="3873" w:type="dxa"/>
            <w:tcBorders/>
          </w:tcPr>
          <w:p>
            <w:pPr>
              <w:pStyle w:val="TableContents"/>
              <w:bidi w:val="0"/>
              <w:spacing w:before="0" w:after="283"/>
              <w:jc w:val="left"/>
              <w:rPr/>
            </w:pPr>
            <w:r>
              <w:fldChar w:fldCharType="begin"/>
            </w:r>
            <w:r>
              <w:rPr>
                <w:rStyle w:val="InternetLink"/>
              </w:rPr>
              <w:instrText xml:space="preserve"> HYPERLINK "http://www.sec.gov/Archives/edgar/data/1770069/000119312526386648/d546679ds1.htm" \l "ii546679_poa"</w:instrText>
            </w:r>
            <w:r>
              <w:rPr>
                <w:rStyle w:val="InternetLink"/>
              </w:rPr>
              <w:fldChar w:fldCharType="separate"/>
            </w:r>
            <w:r>
              <w:rPr>
                <w:rStyle w:val="InternetLink"/>
              </w:rPr>
              <w:t xml:space="preserve">Powers of Attorney (included on the signature page). </w:t>
            </w:r>
            <w:r>
              <w:rPr>
                <w:rStyle w:val="InternetLink"/>
              </w:rPr>
              <w:fldChar w:fldCharType="end"/>
            </w:r>
          </w:p>
        </w:tc>
        <w:tc>
          <w:tcPr>
            <w:tcW w:w="199" w:type="dxa"/>
            <w:tcBorders/>
            <w:vAlign w:val="bottom"/>
          </w:tcPr>
          <w:p>
            <w:pPr>
              <w:pStyle w:val="TableContents"/>
              <w:bidi w:val="0"/>
              <w:spacing w:before="0" w:after="283"/>
              <w:jc w:val="left"/>
              <w:rPr/>
            </w:pPr>
            <w:r>
              <w:rPr/>
              <w:t>  </w:t>
            </w:r>
          </w:p>
        </w:tc>
        <w:tc>
          <w:tcPr>
            <w:tcW w:w="613" w:type="dxa"/>
            <w:tcBorders/>
          </w:tcPr>
          <w:p>
            <w:pPr>
              <w:pStyle w:val="TableContents"/>
              <w:bidi w:val="0"/>
              <w:spacing w:before="0" w:after="283"/>
              <w:jc w:val="center"/>
              <w:rPr/>
            </w:pPr>
            <w:r>
              <w:rPr/>
              <w:t>S-1</w:t>
            </w:r>
          </w:p>
        </w:tc>
        <w:tc>
          <w:tcPr>
            <w:tcW w:w="199" w:type="dxa"/>
            <w:tcBorders/>
            <w:vAlign w:val="bottom"/>
          </w:tcPr>
          <w:p>
            <w:pPr>
              <w:pStyle w:val="TableContents"/>
              <w:bidi w:val="0"/>
              <w:spacing w:before="0" w:after="283"/>
              <w:jc w:val="left"/>
              <w:rPr/>
            </w:pPr>
            <w:r>
              <w:rPr/>
              <w:t>  </w:t>
            </w:r>
          </w:p>
        </w:tc>
        <w:tc>
          <w:tcPr>
            <w:tcW w:w="957" w:type="dxa"/>
            <w:tcBorders/>
          </w:tcPr>
          <w:p>
            <w:pPr>
              <w:pStyle w:val="TableContents"/>
              <w:bidi w:val="0"/>
              <w:spacing w:before="0" w:after="283"/>
              <w:jc w:val="center"/>
              <w:rPr/>
            </w:pPr>
            <w:r>
              <w:rPr/>
              <w:t>333-298837</w:t>
            </w:r>
          </w:p>
        </w:tc>
        <w:tc>
          <w:tcPr>
            <w:tcW w:w="199" w:type="dxa"/>
            <w:tcBorders/>
            <w:vAlign w:val="bottom"/>
          </w:tcPr>
          <w:p>
            <w:pPr>
              <w:pStyle w:val="TableContents"/>
              <w:bidi w:val="0"/>
              <w:spacing w:before="0" w:after="283"/>
              <w:jc w:val="left"/>
              <w:rPr/>
            </w:pPr>
            <w:r>
              <w:rPr/>
              <w:t>  </w:t>
            </w:r>
          </w:p>
        </w:tc>
        <w:tc>
          <w:tcPr>
            <w:tcW w:w="786" w:type="dxa"/>
            <w:tcBorders/>
          </w:tcPr>
          <w:p>
            <w:pPr>
              <w:pStyle w:val="TableContents"/>
              <w:bidi w:val="0"/>
              <w:spacing w:before="0" w:after="283"/>
              <w:jc w:val="center"/>
              <w:rPr/>
            </w:pPr>
            <w:r>
              <w:rPr/>
              <w:t>24.1</w:t>
            </w:r>
          </w:p>
        </w:tc>
        <w:tc>
          <w:tcPr>
            <w:tcW w:w="198" w:type="dxa"/>
            <w:tcBorders/>
            <w:vAlign w:val="bottom"/>
          </w:tcPr>
          <w:p>
            <w:pPr>
              <w:pStyle w:val="TableContents"/>
              <w:bidi w:val="0"/>
              <w:spacing w:before="0" w:after="283"/>
              <w:jc w:val="left"/>
              <w:rPr/>
            </w:pPr>
            <w:r>
              <w:rPr/>
              <w:t>  </w:t>
            </w:r>
          </w:p>
        </w:tc>
        <w:tc>
          <w:tcPr>
            <w:tcW w:w="875" w:type="dxa"/>
            <w:tcBorders/>
          </w:tcPr>
          <w:p>
            <w:pPr>
              <w:pStyle w:val="TableContents"/>
              <w:bidi w:val="0"/>
              <w:spacing w:before="0" w:after="283"/>
              <w:jc w:val="center"/>
              <w:rPr/>
            </w:pPr>
            <w:r>
              <w:rPr/>
              <w:t>9/6/2026</w:t>
            </w:r>
          </w:p>
        </w:tc>
        <w:tc>
          <w:tcPr>
            <w:tcW w:w="199" w:type="dxa"/>
            <w:tcBorders/>
            <w:vAlign w:val="bottom"/>
          </w:tcPr>
          <w:p>
            <w:pPr>
              <w:pStyle w:val="TableContents"/>
              <w:bidi w:val="0"/>
              <w:spacing w:before="0" w:after="283"/>
              <w:jc w:val="left"/>
              <w:rPr/>
            </w:pPr>
            <w:r>
              <w:rPr/>
              <w:t>  </w:t>
            </w:r>
          </w:p>
        </w:tc>
        <w:tc>
          <w:tcPr>
            <w:tcW w:w="978" w:type="dxa"/>
            <w:tcBorders/>
          </w:tcPr>
          <w:p>
            <w:pPr>
              <w:pStyle w:val="TableContents"/>
              <w:bidi w:val="0"/>
              <w:spacing w:before="0" w:after="283"/>
              <w:jc w:val="left"/>
              <w:rPr>
                <w:sz w:val="4"/>
                <w:szCs w:val="4"/>
              </w:rPr>
            </w:pPr>
            <w:r>
              <w:rPr>
                <w:sz w:val="4"/>
                <w:szCs w:val="4"/>
              </w:rPr>
            </w:r>
          </w:p>
        </w:tc>
      </w:tr>
      <w:tr>
        <w:trPr>
          <w:trHeight w:val="120" w:hRule="atLeast"/>
        </w:trPr>
        <w:tc>
          <w:tcPr>
            <w:tcW w:w="803" w:type="dxa"/>
            <w:tcBorders/>
            <w:vAlign w:val="center"/>
          </w:tcPr>
          <w:p>
            <w:pPr>
              <w:pStyle w:val="TableContents"/>
              <w:bidi w:val="0"/>
              <w:spacing w:before="0" w:after="283"/>
              <w:jc w:val="left"/>
              <w:rPr>
                <w:sz w:val="4"/>
                <w:szCs w:val="4"/>
              </w:rPr>
            </w:pPr>
            <w:r>
              <w:rPr>
                <w:sz w:val="4"/>
                <w:szCs w:val="4"/>
              </w:rPr>
            </w:r>
          </w:p>
        </w:tc>
        <w:tc>
          <w:tcPr>
            <w:tcW w:w="4199" w:type="dxa"/>
            <w:gridSpan w:val="2"/>
            <w:tcBorders/>
            <w:vAlign w:val="center"/>
          </w:tcPr>
          <w:p>
            <w:pPr>
              <w:pStyle w:val="TableContents"/>
              <w:bidi w:val="0"/>
              <w:spacing w:before="0" w:after="283"/>
              <w:jc w:val="left"/>
              <w:rPr>
                <w:sz w:val="4"/>
                <w:szCs w:val="4"/>
              </w:rPr>
            </w:pPr>
            <w:r>
              <w:rPr>
                <w:sz w:val="4"/>
                <w:szCs w:val="4"/>
              </w:rPr>
            </w:r>
          </w:p>
        </w:tc>
        <w:tc>
          <w:tcPr>
            <w:tcW w:w="812" w:type="dxa"/>
            <w:gridSpan w:val="2"/>
            <w:tcBorders/>
            <w:vAlign w:val="center"/>
          </w:tcPr>
          <w:p>
            <w:pPr>
              <w:pStyle w:val="TableContents"/>
              <w:bidi w:val="0"/>
              <w:spacing w:before="0" w:after="283"/>
              <w:jc w:val="left"/>
              <w:rPr>
                <w:sz w:val="4"/>
                <w:szCs w:val="4"/>
              </w:rPr>
            </w:pPr>
            <w:r>
              <w:rPr>
                <w:sz w:val="4"/>
                <w:szCs w:val="4"/>
              </w:rPr>
            </w:r>
          </w:p>
        </w:tc>
        <w:tc>
          <w:tcPr>
            <w:tcW w:w="1156" w:type="dxa"/>
            <w:gridSpan w:val="2"/>
            <w:tcBorders/>
            <w:vAlign w:val="center"/>
          </w:tcPr>
          <w:p>
            <w:pPr>
              <w:pStyle w:val="TableContents"/>
              <w:bidi w:val="0"/>
              <w:spacing w:before="0" w:after="283"/>
              <w:jc w:val="left"/>
              <w:rPr>
                <w:sz w:val="4"/>
                <w:szCs w:val="4"/>
              </w:rPr>
            </w:pPr>
            <w:r>
              <w:rPr>
                <w:sz w:val="4"/>
                <w:szCs w:val="4"/>
              </w:rPr>
            </w:r>
          </w:p>
        </w:tc>
        <w:tc>
          <w:tcPr>
            <w:tcW w:w="985" w:type="dxa"/>
            <w:gridSpan w:val="2"/>
            <w:tcBorders/>
            <w:vAlign w:val="center"/>
          </w:tcPr>
          <w:p>
            <w:pPr>
              <w:pStyle w:val="TableContents"/>
              <w:bidi w:val="0"/>
              <w:spacing w:before="0" w:after="283"/>
              <w:jc w:val="left"/>
              <w:rPr>
                <w:sz w:val="4"/>
                <w:szCs w:val="4"/>
              </w:rPr>
            </w:pPr>
            <w:r>
              <w:rPr>
                <w:sz w:val="4"/>
                <w:szCs w:val="4"/>
              </w:rPr>
            </w:r>
          </w:p>
        </w:tc>
        <w:tc>
          <w:tcPr>
            <w:tcW w:w="1073" w:type="dxa"/>
            <w:gridSpan w:val="2"/>
            <w:tcBorders/>
            <w:vAlign w:val="center"/>
          </w:tcPr>
          <w:p>
            <w:pPr>
              <w:pStyle w:val="TableContents"/>
              <w:bidi w:val="0"/>
              <w:spacing w:before="0" w:after="283"/>
              <w:jc w:val="left"/>
              <w:rPr>
                <w:sz w:val="4"/>
                <w:szCs w:val="4"/>
              </w:rPr>
            </w:pPr>
            <w:r>
              <w:rPr>
                <w:sz w:val="4"/>
                <w:szCs w:val="4"/>
              </w:rPr>
            </w:r>
          </w:p>
        </w:tc>
        <w:tc>
          <w:tcPr>
            <w:tcW w:w="1177" w:type="dxa"/>
            <w:gridSpan w:val="2"/>
            <w:tcBorders/>
            <w:vAlign w:val="center"/>
          </w:tcPr>
          <w:p>
            <w:pPr>
              <w:pStyle w:val="TableContents"/>
              <w:bidi w:val="0"/>
              <w:spacing w:before="0" w:after="283"/>
              <w:jc w:val="left"/>
              <w:rPr>
                <w:sz w:val="4"/>
                <w:szCs w:val="4"/>
              </w:rPr>
            </w:pPr>
            <w:r>
              <w:rPr>
                <w:sz w:val="4"/>
                <w:szCs w:val="4"/>
              </w:rPr>
            </w:r>
          </w:p>
        </w:tc>
      </w:tr>
      <w:tr>
        <w:trPr/>
        <w:tc>
          <w:tcPr>
            <w:tcW w:w="803" w:type="dxa"/>
            <w:tcBorders/>
          </w:tcPr>
          <w:p>
            <w:pPr>
              <w:pStyle w:val="TableContents"/>
              <w:bidi w:val="0"/>
              <w:spacing w:before="0" w:after="283"/>
              <w:jc w:val="left"/>
              <w:rPr/>
            </w:pPr>
            <w:r>
              <w:rPr/>
              <w:t>107</w:t>
            </w:r>
          </w:p>
        </w:tc>
        <w:tc>
          <w:tcPr>
            <w:tcW w:w="326" w:type="dxa"/>
            <w:tcBorders/>
            <w:vAlign w:val="bottom"/>
          </w:tcPr>
          <w:p>
            <w:pPr>
              <w:pStyle w:val="TableContents"/>
              <w:bidi w:val="0"/>
              <w:spacing w:before="0" w:after="283"/>
              <w:jc w:val="left"/>
              <w:rPr/>
            </w:pPr>
            <w:r>
              <w:rPr/>
              <w:t>  </w:t>
            </w:r>
          </w:p>
        </w:tc>
        <w:tc>
          <w:tcPr>
            <w:tcW w:w="3873" w:type="dxa"/>
            <w:tcBorders/>
          </w:tcPr>
          <w:p>
            <w:pPr>
              <w:pStyle w:val="TableContents"/>
              <w:bidi w:val="0"/>
              <w:spacing w:before="0" w:after="283"/>
              <w:jc w:val="left"/>
              <w:rPr/>
            </w:pPr>
            <w:hyperlink r:id="rId35">
              <w:r>
                <w:rPr>
                  <w:rStyle w:val="InternetLink"/>
                </w:rPr>
                <w:t>Filing Fee Table</w:t>
              </w:r>
            </w:hyperlink>
          </w:p>
        </w:tc>
        <w:tc>
          <w:tcPr>
            <w:tcW w:w="199" w:type="dxa"/>
            <w:tcBorders/>
            <w:vAlign w:val="bottom"/>
          </w:tcPr>
          <w:p>
            <w:pPr>
              <w:pStyle w:val="TableContents"/>
              <w:bidi w:val="0"/>
              <w:spacing w:before="0" w:after="283"/>
              <w:jc w:val="left"/>
              <w:rPr/>
            </w:pPr>
            <w:r>
              <w:rPr/>
              <w:t>  </w:t>
            </w:r>
          </w:p>
        </w:tc>
        <w:tc>
          <w:tcPr>
            <w:tcW w:w="613" w:type="dxa"/>
            <w:tcBorders/>
          </w:tcPr>
          <w:p>
            <w:pPr>
              <w:pStyle w:val="TableContents"/>
              <w:bidi w:val="0"/>
              <w:spacing w:before="0" w:after="283"/>
              <w:jc w:val="center"/>
              <w:rPr/>
            </w:pPr>
            <w:r>
              <w:rPr/>
              <w:t>S-1</w:t>
            </w:r>
          </w:p>
        </w:tc>
        <w:tc>
          <w:tcPr>
            <w:tcW w:w="199" w:type="dxa"/>
            <w:tcBorders/>
            <w:vAlign w:val="bottom"/>
          </w:tcPr>
          <w:p>
            <w:pPr>
              <w:pStyle w:val="TableContents"/>
              <w:bidi w:val="0"/>
              <w:spacing w:before="0" w:after="283"/>
              <w:jc w:val="left"/>
              <w:rPr/>
            </w:pPr>
            <w:r>
              <w:rPr/>
              <w:t>  </w:t>
            </w:r>
          </w:p>
        </w:tc>
        <w:tc>
          <w:tcPr>
            <w:tcW w:w="957" w:type="dxa"/>
            <w:tcBorders/>
          </w:tcPr>
          <w:p>
            <w:pPr>
              <w:pStyle w:val="TableContents"/>
              <w:bidi w:val="0"/>
              <w:spacing w:before="0" w:after="283"/>
              <w:jc w:val="center"/>
              <w:rPr/>
            </w:pPr>
            <w:r>
              <w:rPr/>
              <w:t>333-298837</w:t>
            </w:r>
          </w:p>
        </w:tc>
        <w:tc>
          <w:tcPr>
            <w:tcW w:w="199" w:type="dxa"/>
            <w:tcBorders/>
            <w:vAlign w:val="bottom"/>
          </w:tcPr>
          <w:p>
            <w:pPr>
              <w:pStyle w:val="TableContents"/>
              <w:bidi w:val="0"/>
              <w:spacing w:before="0" w:after="283"/>
              <w:jc w:val="left"/>
              <w:rPr/>
            </w:pPr>
            <w:r>
              <w:rPr/>
              <w:t>  </w:t>
            </w:r>
          </w:p>
        </w:tc>
        <w:tc>
          <w:tcPr>
            <w:tcW w:w="786" w:type="dxa"/>
            <w:tcBorders/>
          </w:tcPr>
          <w:p>
            <w:pPr>
              <w:pStyle w:val="TableContents"/>
              <w:bidi w:val="0"/>
              <w:spacing w:before="0" w:after="283"/>
              <w:jc w:val="center"/>
              <w:rPr/>
            </w:pPr>
            <w:r>
              <w:rPr/>
              <w:t>107</w:t>
            </w:r>
          </w:p>
        </w:tc>
        <w:tc>
          <w:tcPr>
            <w:tcW w:w="198" w:type="dxa"/>
            <w:tcBorders/>
            <w:vAlign w:val="bottom"/>
          </w:tcPr>
          <w:p>
            <w:pPr>
              <w:pStyle w:val="TableContents"/>
              <w:bidi w:val="0"/>
              <w:spacing w:before="0" w:after="283"/>
              <w:jc w:val="left"/>
              <w:rPr/>
            </w:pPr>
            <w:r>
              <w:rPr/>
              <w:t>  </w:t>
            </w:r>
          </w:p>
        </w:tc>
        <w:tc>
          <w:tcPr>
            <w:tcW w:w="875" w:type="dxa"/>
            <w:tcBorders/>
          </w:tcPr>
          <w:p>
            <w:pPr>
              <w:pStyle w:val="TableContents"/>
              <w:bidi w:val="0"/>
              <w:spacing w:before="0" w:after="283"/>
              <w:jc w:val="center"/>
              <w:rPr/>
            </w:pPr>
            <w:r>
              <w:rPr/>
              <w:t>9/6/2026</w:t>
            </w:r>
          </w:p>
        </w:tc>
        <w:tc>
          <w:tcPr>
            <w:tcW w:w="199" w:type="dxa"/>
            <w:tcBorders/>
            <w:vAlign w:val="bottom"/>
          </w:tcPr>
          <w:p>
            <w:pPr>
              <w:pStyle w:val="TableContents"/>
              <w:bidi w:val="0"/>
              <w:spacing w:before="0" w:after="283"/>
              <w:jc w:val="left"/>
              <w:rPr/>
            </w:pPr>
            <w:r>
              <w:rPr/>
              <w:t>  </w:t>
            </w:r>
          </w:p>
        </w:tc>
        <w:tc>
          <w:tcPr>
            <w:tcW w:w="978" w:type="dxa"/>
            <w:tcBorders/>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Indicates management contract or compensatory plan. </w:t>
            </w:r>
          </w:p>
        </w:tc>
      </w:tr>
    </w:tbl>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schedules and exhibits to this exhibit have been omitted pursuant to Item 601(a)(5) of Regulation S-K. A copy of any omitted schedule and/or exhibit will be furnished to the SEC upon request. </w:t>
            </w:r>
          </w:p>
        </w:tc>
      </w:tr>
    </w:tbl>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Item 601(b)(10) of Regulation S-K, portions of this exhibit have been omitted as the registrant has determined that the omitted information is (i) not material and (ii) the type of information that the registrant customarily and actually treats as private or confidential.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(b) Financial statement schedules. </w:t>
      </w:r>
    </w:p>
    <w:p>
      <w:pPr>
        <w:pStyle w:val="TextBody"/>
        <w:bidi w:val="0"/>
        <w:spacing w:before="120" w:after="0"/>
        <w:jc w:val="left"/>
        <w:rPr>
          <w:rFonts w:ascii="Times New Roman" w:hAnsi="Times New Roman"/>
          <w:sz w:val="20"/>
        </w:rPr>
      </w:pPr>
      <w:r>
        <w:rPr>
          <w:rFonts w:ascii="Times New Roman" w:hAnsi="Times New Roman"/>
          <w:sz w:val="20"/>
        </w:rPr>
        <w:t xml:space="preserve">No financial statement schedules are provided because the information called for is not required or is shown either in the financial statements or the notes thereto that are incorporated by reference into the prospectus forming part of this registration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Item 17. Undertakings. </w:t>
      </w:r>
    </w:p>
    <w:p>
      <w:pPr>
        <w:pStyle w:val="TextBody"/>
        <w:bidi w:val="0"/>
        <w:spacing w:before="120" w:after="0"/>
        <w:jc w:val="left"/>
        <w:rPr>
          <w:rFonts w:ascii="Times New Roman" w:hAnsi="Times New Roman"/>
          <w:sz w:val="20"/>
        </w:rPr>
      </w:pPr>
      <w:r>
        <w:rPr>
          <w:rFonts w:ascii="Times New Roman" w:hAnsi="Times New Roman"/>
          <w:sz w:val="20"/>
        </w:rPr>
        <w:t xml:space="preserve">(a) The undersigned registrant hereby undertakes: </w:t>
      </w:r>
    </w:p>
    <w:p>
      <w:pPr>
        <w:pStyle w:val="TextBody"/>
        <w:bidi w:val="0"/>
        <w:spacing w:before="240" w:after="0"/>
        <w:jc w:val="left"/>
        <w:rPr>
          <w:rFonts w:ascii="Times New Roman" w:hAnsi="Times New Roman"/>
          <w:sz w:val="20"/>
        </w:rPr>
      </w:pPr>
      <w:r>
        <w:rPr>
          <w:rFonts w:ascii="Times New Roman" w:hAnsi="Times New Roman"/>
          <w:sz w:val="20"/>
        </w:rPr>
        <w:t xml:space="preserve">(1) To file, during any period in which offers or sales are being made, a post-effective amendment to this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(i) to include any prospectus required by Section 10(a)(3) of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Filing Fee” table in the effective registration statement; and </w:t>
      </w:r>
    </w:p>
    <w:p>
      <w:pPr>
        <w:pStyle w:val="TextBody"/>
        <w:bidi w:val="0"/>
        <w:spacing w:before="240" w:after="0"/>
        <w:jc w:val="left"/>
        <w:rPr>
          <w:rFonts w:ascii="Times New Roman" w:hAnsi="Times New Roman"/>
          <w:sz w:val="20"/>
        </w:rPr>
      </w:pPr>
      <w:r>
        <w:rPr>
          <w:rFonts w:ascii="Times New Roman" w:hAnsi="Times New Roman"/>
          <w:sz w:val="20"/>
        </w:rPr>
        <w:t xml:space="preserve">(iii) to include any material information with respect to the plan of distribution not previously disclosed in the registration statement or any material change to such information in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provided, however, that paragraphs (a)(1)(i), (a)(1)(ii) and (a)(1)(iii) do not apply if the information required to be included in a post-effective amendment by those paragraphs is contained in reports filed with or furnished to the SEC by the registrant pursuant to Section 13 or Section 15(d) of the Exchange Act that are incorporated by reference in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(3) To remove from registration by means of a post-effective amendment any of the securities being registered which remain unsold at the termination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(4) 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w:t>
      </w:r>
    </w:p>
    <w:p>
      <w:pPr>
        <w:pStyle w:val="TextBody"/>
        <w:bidi w:val="0"/>
        <w:spacing w:before="240" w:after="0"/>
        <w:jc w:val="left"/>
        <w:rPr>
          <w:rFonts w:ascii="Times New Roman" w:hAnsi="Times New Roman"/>
          <w:sz w:val="20"/>
        </w:rPr>
      </w:pPr>
      <w:r>
        <w:rPr>
          <w:rFonts w:ascii="Times New Roman" w:hAnsi="Times New Roman"/>
          <w:sz w:val="20"/>
        </w:rPr>
        <w:t xml:space="preserve">(b)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(c) 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ii546679_poa"/>
      <w:bookmarkEnd w:id="14"/>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has duly caused this Amendment No. 1 to the registration statement to be signed on its behalf by the undersigned, thereunto duly authorized, in the City of Redwood City, State of California, on the 18th day of September,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MAPLIGHT THERAPEUTICS, INC.</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vAlign w:val="center"/>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7" w:type="dxa"/>
            <w:tcBorders>
              <w:bottom w:val="single" w:sz="2" w:space="0" w:color="000000"/>
            </w:tcBorders>
            <w:tcMar>
              <w:bottom w:w="28" w:type="dxa"/>
            </w:tcMar>
            <w:vAlign w:val="center"/>
          </w:tcPr>
          <w:p>
            <w:pPr>
              <w:pStyle w:val="TableContents"/>
              <w:bidi w:val="0"/>
              <w:spacing w:before="0" w:after="283"/>
              <w:jc w:val="left"/>
              <w:rPr/>
            </w:pPr>
            <w:r>
              <w:rPr/>
              <w:t>/s/ Christopher A. Kroeger, M.D.</w:t>
            </w:r>
          </w:p>
        </w:tc>
      </w:tr>
      <w:tr>
        <w:trPr/>
        <w:tc>
          <w:tcPr>
            <w:tcW w:w="3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Christopher A. Kroeger, M.D.</w:t>
            </w:r>
          </w:p>
          <w:p>
            <w:pPr>
              <w:pStyle w:val="TableContents"/>
              <w:bidi w:val="0"/>
              <w:spacing w:before="0" w:after="20"/>
              <w:jc w:val="left"/>
              <w:rPr>
                <w:rFonts w:ascii="Times New Roman" w:hAnsi="Times New Roman"/>
                <w:sz w:val="20"/>
              </w:rPr>
            </w:pPr>
            <w:r>
              <w:rPr>
                <w:rFonts w:ascii="Times New Roman" w:hAnsi="Times New Roman"/>
                <w:sz w:val="20"/>
              </w:rPr>
              <w:t>Chief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this Amendment No. 1 to the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324"/>
        <w:gridCol w:w="120"/>
        <w:gridCol w:w="3531"/>
        <w:gridCol w:w="196"/>
        <w:gridCol w:w="2034"/>
      </w:tblGrid>
      <w:tr>
        <w:trPr/>
        <w:tc>
          <w:tcPr>
            <w:tcW w:w="432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531"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2034" w:type="dxa"/>
            <w:tcBorders/>
            <w:vAlign w:val="center"/>
          </w:tcPr>
          <w:p>
            <w:pPr>
              <w:pStyle w:val="TableContents"/>
              <w:bidi w:val="0"/>
              <w:spacing w:before="0" w:after="283"/>
              <w:jc w:val="left"/>
              <w:rPr>
                <w:sz w:val="4"/>
                <w:szCs w:val="4"/>
              </w:rPr>
            </w:pPr>
            <w:r>
              <w:rPr>
                <w:sz w:val="4"/>
                <w:szCs w:val="4"/>
              </w:rPr>
            </w:r>
          </w:p>
        </w:tc>
      </w:tr>
      <w:tr>
        <w:trPr/>
        <w:tc>
          <w:tcPr>
            <w:tcW w:w="432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w:t>
            </w:r>
          </w:p>
        </w:tc>
        <w:tc>
          <w:tcPr>
            <w:tcW w:w="120" w:type="dxa"/>
            <w:tcBorders/>
            <w:vAlign w:val="bottom"/>
          </w:tcPr>
          <w:p>
            <w:pPr>
              <w:pStyle w:val="TableContents"/>
              <w:bidi w:val="0"/>
              <w:spacing w:before="0" w:after="283"/>
              <w:jc w:val="left"/>
              <w:rPr/>
            </w:pPr>
            <w:r>
              <w:rPr/>
              <w:t>  </w:t>
            </w:r>
          </w:p>
        </w:tc>
        <w:tc>
          <w:tcPr>
            <w:tcW w:w="353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96" w:type="dxa"/>
            <w:tcBorders/>
            <w:vAlign w:val="bottom"/>
          </w:tcPr>
          <w:p>
            <w:pPr>
              <w:pStyle w:val="TableContents"/>
              <w:bidi w:val="0"/>
              <w:spacing w:before="0" w:after="283"/>
              <w:jc w:val="left"/>
              <w:rPr/>
            </w:pPr>
            <w:r>
              <w:rPr/>
              <w:t> </w:t>
            </w:r>
          </w:p>
        </w:tc>
        <w:tc>
          <w:tcPr>
            <w:tcW w:w="203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4324" w:type="dxa"/>
            <w:tcBorders/>
            <w:vAlign w:val="center"/>
          </w:tcPr>
          <w:p>
            <w:pPr>
              <w:pStyle w:val="TableContents"/>
              <w:bidi w:val="0"/>
              <w:spacing w:before="0" w:after="283"/>
              <w:jc w:val="left"/>
              <w:rPr>
                <w:sz w:val="4"/>
                <w:szCs w:val="4"/>
              </w:rPr>
            </w:pPr>
            <w:r>
              <w:rPr>
                <w:sz w:val="4"/>
                <w:szCs w:val="4"/>
              </w:rPr>
            </w:r>
          </w:p>
        </w:tc>
        <w:tc>
          <w:tcPr>
            <w:tcW w:w="3651" w:type="dxa"/>
            <w:gridSpan w:val="2"/>
            <w:tcBorders/>
            <w:vAlign w:val="center"/>
          </w:tcPr>
          <w:p>
            <w:pPr>
              <w:pStyle w:val="TableContents"/>
              <w:bidi w:val="0"/>
              <w:spacing w:before="0" w:after="283"/>
              <w:jc w:val="left"/>
              <w:rPr>
                <w:sz w:val="4"/>
                <w:szCs w:val="4"/>
              </w:rPr>
            </w:pPr>
            <w:r>
              <w:rPr>
                <w:sz w:val="4"/>
                <w:szCs w:val="4"/>
              </w:rPr>
            </w:r>
          </w:p>
        </w:tc>
        <w:tc>
          <w:tcPr>
            <w:tcW w:w="2230" w:type="dxa"/>
            <w:gridSpan w:val="2"/>
            <w:tcBorders/>
            <w:vAlign w:val="center"/>
          </w:tcPr>
          <w:p>
            <w:pPr>
              <w:pStyle w:val="TableContents"/>
              <w:bidi w:val="0"/>
              <w:spacing w:before="0" w:after="283"/>
              <w:jc w:val="left"/>
              <w:rPr>
                <w:sz w:val="4"/>
                <w:szCs w:val="4"/>
              </w:rPr>
            </w:pPr>
            <w:r>
              <w:rPr>
                <w:sz w:val="4"/>
                <w:szCs w:val="4"/>
              </w:rPr>
            </w:r>
          </w:p>
        </w:tc>
      </w:tr>
      <w:tr>
        <w:trPr/>
        <w:tc>
          <w:tcPr>
            <w:tcW w:w="4324"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Christopher A. Kroeger, M.D.</w:t>
            </w:r>
          </w:p>
          <w:p>
            <w:pPr>
              <w:pStyle w:val="TableContents"/>
              <w:bidi w:val="0"/>
              <w:spacing w:before="0" w:after="20"/>
              <w:jc w:val="center"/>
              <w:rPr>
                <w:rFonts w:ascii="Times New Roman" w:hAnsi="Times New Roman"/>
                <w:sz w:val="20"/>
              </w:rPr>
            </w:pPr>
            <w:r>
              <w:rPr>
                <w:rFonts w:ascii="Times New Roman" w:hAnsi="Times New Roman"/>
                <w:sz w:val="20"/>
              </w:rPr>
              <w:t>Christopher A. Kroeger, M.D.</w:t>
            </w:r>
          </w:p>
        </w:tc>
        <w:tc>
          <w:tcPr>
            <w:tcW w:w="120" w:type="dxa"/>
            <w:tcBorders/>
            <w:vAlign w:val="bottom"/>
          </w:tcPr>
          <w:p>
            <w:pPr>
              <w:pStyle w:val="TableContents"/>
              <w:bidi w:val="0"/>
              <w:spacing w:before="0" w:after="283"/>
              <w:jc w:val="left"/>
              <w:rPr/>
            </w:pPr>
            <w:r>
              <w:rPr/>
              <w:t>  </w:t>
            </w:r>
          </w:p>
        </w:tc>
        <w:tc>
          <w:tcPr>
            <w:tcW w:w="3531" w:type="dxa"/>
            <w:tcBorders/>
          </w:tcPr>
          <w:p>
            <w:pPr>
              <w:pStyle w:val="TableContents"/>
              <w:bidi w:val="0"/>
              <w:spacing w:before="0" w:after="0"/>
              <w:jc w:val="center"/>
              <w:rPr>
                <w:rFonts w:ascii="Times New Roman" w:hAnsi="Times New Roman"/>
                <w:sz w:val="20"/>
              </w:rPr>
            </w:pPr>
            <w:r>
              <w:rPr>
                <w:rFonts w:ascii="Times New Roman" w:hAnsi="Times New Roman"/>
                <w:sz w:val="20"/>
              </w:rPr>
              <w:t>Chief Executive Officer and Director</w:t>
            </w:r>
          </w:p>
          <w:p>
            <w:pPr>
              <w:pStyle w:val="TableContents"/>
              <w:bidi w:val="0"/>
              <w:spacing w:before="0" w:after="20"/>
              <w:jc w:val="center"/>
              <w:rPr>
                <w:rFonts w:ascii="Times New Roman" w:hAnsi="Times New Roman"/>
                <w:i/>
                <w:sz w:val="20"/>
              </w:rPr>
            </w:pPr>
            <w:r>
              <w:rPr>
                <w:rFonts w:ascii="Times New Roman" w:hAnsi="Times New Roman"/>
                <w:i/>
                <w:sz w:val="20"/>
              </w:rPr>
              <w:t>(Principal Executive Officer)</w:t>
            </w:r>
          </w:p>
        </w:tc>
        <w:tc>
          <w:tcPr>
            <w:tcW w:w="196" w:type="dxa"/>
            <w:tcBorders/>
            <w:vAlign w:val="bottom"/>
          </w:tcPr>
          <w:p>
            <w:pPr>
              <w:pStyle w:val="TableContents"/>
              <w:bidi w:val="0"/>
              <w:spacing w:before="0" w:after="283"/>
              <w:jc w:val="left"/>
              <w:rPr/>
            </w:pPr>
            <w:r>
              <w:rPr/>
              <w:t> </w:t>
            </w:r>
          </w:p>
        </w:tc>
        <w:tc>
          <w:tcPr>
            <w:tcW w:w="2034" w:type="dxa"/>
            <w:tcBorders/>
          </w:tcPr>
          <w:p>
            <w:pPr>
              <w:pStyle w:val="TableContents"/>
              <w:bidi w:val="0"/>
              <w:spacing w:before="0" w:after="283"/>
              <w:jc w:val="center"/>
              <w:rPr/>
            </w:pPr>
            <w:r>
              <w:rPr/>
              <w:t>September 18, 2026</w:t>
            </w:r>
          </w:p>
        </w:tc>
      </w:tr>
      <w:tr>
        <w:trPr>
          <w:trHeight w:val="240" w:hRule="atLeast"/>
        </w:trPr>
        <w:tc>
          <w:tcPr>
            <w:tcW w:w="4324" w:type="dxa"/>
            <w:tcBorders/>
            <w:vAlign w:val="center"/>
          </w:tcPr>
          <w:p>
            <w:pPr>
              <w:pStyle w:val="TableContents"/>
              <w:bidi w:val="0"/>
              <w:spacing w:before="0" w:after="283"/>
              <w:jc w:val="left"/>
              <w:rPr>
                <w:sz w:val="4"/>
                <w:szCs w:val="4"/>
              </w:rPr>
            </w:pPr>
            <w:r>
              <w:rPr>
                <w:sz w:val="4"/>
                <w:szCs w:val="4"/>
              </w:rPr>
            </w:r>
          </w:p>
        </w:tc>
        <w:tc>
          <w:tcPr>
            <w:tcW w:w="3651" w:type="dxa"/>
            <w:gridSpan w:val="2"/>
            <w:tcBorders/>
            <w:vAlign w:val="center"/>
          </w:tcPr>
          <w:p>
            <w:pPr>
              <w:pStyle w:val="TableContents"/>
              <w:bidi w:val="0"/>
              <w:spacing w:before="0" w:after="283"/>
              <w:jc w:val="left"/>
              <w:rPr>
                <w:sz w:val="4"/>
                <w:szCs w:val="4"/>
              </w:rPr>
            </w:pPr>
            <w:r>
              <w:rPr>
                <w:sz w:val="4"/>
                <w:szCs w:val="4"/>
              </w:rPr>
            </w:r>
          </w:p>
        </w:tc>
        <w:tc>
          <w:tcPr>
            <w:tcW w:w="2230" w:type="dxa"/>
            <w:gridSpan w:val="2"/>
            <w:tcBorders/>
            <w:vAlign w:val="center"/>
          </w:tcPr>
          <w:p>
            <w:pPr>
              <w:pStyle w:val="TableContents"/>
              <w:bidi w:val="0"/>
              <w:spacing w:before="0" w:after="283"/>
              <w:jc w:val="left"/>
              <w:rPr>
                <w:sz w:val="4"/>
                <w:szCs w:val="4"/>
              </w:rPr>
            </w:pPr>
            <w:r>
              <w:rPr>
                <w:sz w:val="4"/>
                <w:szCs w:val="4"/>
              </w:rPr>
            </w:r>
          </w:p>
        </w:tc>
      </w:tr>
      <w:tr>
        <w:trPr/>
        <w:tc>
          <w:tcPr>
            <w:tcW w:w="4324"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Jonathan Gillis</w:t>
            </w:r>
          </w:p>
          <w:p>
            <w:pPr>
              <w:pStyle w:val="TableContents"/>
              <w:bidi w:val="0"/>
              <w:spacing w:before="0" w:after="20"/>
              <w:jc w:val="center"/>
              <w:rPr>
                <w:rFonts w:ascii="Times New Roman" w:hAnsi="Times New Roman"/>
                <w:sz w:val="20"/>
              </w:rPr>
            </w:pPr>
            <w:r>
              <w:rPr>
                <w:rFonts w:ascii="Times New Roman" w:hAnsi="Times New Roman"/>
                <w:sz w:val="20"/>
              </w:rPr>
              <w:t>Jonathan Gillis</w:t>
            </w:r>
          </w:p>
        </w:tc>
        <w:tc>
          <w:tcPr>
            <w:tcW w:w="120" w:type="dxa"/>
            <w:tcBorders/>
            <w:vAlign w:val="bottom"/>
          </w:tcPr>
          <w:p>
            <w:pPr>
              <w:pStyle w:val="TableContents"/>
              <w:bidi w:val="0"/>
              <w:spacing w:before="0" w:after="283"/>
              <w:jc w:val="left"/>
              <w:rPr/>
            </w:pPr>
            <w:r>
              <w:rPr/>
              <w:t>  </w:t>
            </w:r>
          </w:p>
        </w:tc>
        <w:tc>
          <w:tcPr>
            <w:tcW w:w="3531" w:type="dxa"/>
            <w:tcBorders/>
          </w:tcPr>
          <w:p>
            <w:pPr>
              <w:pStyle w:val="TableContents"/>
              <w:bidi w:val="0"/>
              <w:spacing w:before="0" w:after="283"/>
              <w:jc w:val="center"/>
              <w:rPr/>
            </w:pPr>
            <w:r>
              <w:rPr/>
              <w:t xml:space="preserve">Interim Chief Financial Officer and Chief Administrative and Accounting Officer </w:t>
            </w:r>
            <w:r>
              <w:rPr>
                <w:i/>
              </w:rPr>
              <w:t>(Principal Financial Officer and Principal Accounting Officer)</w:t>
            </w:r>
          </w:p>
        </w:tc>
        <w:tc>
          <w:tcPr>
            <w:tcW w:w="196" w:type="dxa"/>
            <w:tcBorders/>
            <w:vAlign w:val="bottom"/>
          </w:tcPr>
          <w:p>
            <w:pPr>
              <w:pStyle w:val="TableContents"/>
              <w:bidi w:val="0"/>
              <w:spacing w:before="0" w:after="283"/>
              <w:jc w:val="left"/>
              <w:rPr/>
            </w:pPr>
            <w:r>
              <w:rPr/>
              <w:t> </w:t>
            </w:r>
          </w:p>
        </w:tc>
        <w:tc>
          <w:tcPr>
            <w:tcW w:w="2034" w:type="dxa"/>
            <w:tcBorders/>
          </w:tcPr>
          <w:p>
            <w:pPr>
              <w:pStyle w:val="TableContents"/>
              <w:bidi w:val="0"/>
              <w:spacing w:before="0" w:after="283"/>
              <w:jc w:val="center"/>
              <w:rPr/>
            </w:pPr>
            <w:r>
              <w:rPr/>
              <w:t>September 18, 2026</w:t>
            </w:r>
          </w:p>
        </w:tc>
      </w:tr>
      <w:tr>
        <w:trPr>
          <w:trHeight w:val="240" w:hRule="atLeast"/>
        </w:trPr>
        <w:tc>
          <w:tcPr>
            <w:tcW w:w="4324" w:type="dxa"/>
            <w:tcBorders/>
            <w:vAlign w:val="center"/>
          </w:tcPr>
          <w:p>
            <w:pPr>
              <w:pStyle w:val="TableContents"/>
              <w:bidi w:val="0"/>
              <w:spacing w:before="0" w:after="283"/>
              <w:jc w:val="left"/>
              <w:rPr>
                <w:sz w:val="4"/>
                <w:szCs w:val="4"/>
              </w:rPr>
            </w:pPr>
            <w:r>
              <w:rPr>
                <w:sz w:val="4"/>
                <w:szCs w:val="4"/>
              </w:rPr>
            </w:r>
          </w:p>
        </w:tc>
        <w:tc>
          <w:tcPr>
            <w:tcW w:w="3651" w:type="dxa"/>
            <w:gridSpan w:val="2"/>
            <w:tcBorders/>
            <w:vAlign w:val="center"/>
          </w:tcPr>
          <w:p>
            <w:pPr>
              <w:pStyle w:val="TableContents"/>
              <w:bidi w:val="0"/>
              <w:spacing w:before="0" w:after="283"/>
              <w:jc w:val="left"/>
              <w:rPr>
                <w:sz w:val="4"/>
                <w:szCs w:val="4"/>
              </w:rPr>
            </w:pPr>
            <w:r>
              <w:rPr>
                <w:sz w:val="4"/>
                <w:szCs w:val="4"/>
              </w:rPr>
            </w:r>
          </w:p>
        </w:tc>
        <w:tc>
          <w:tcPr>
            <w:tcW w:w="2230" w:type="dxa"/>
            <w:gridSpan w:val="2"/>
            <w:tcBorders/>
            <w:vAlign w:val="center"/>
          </w:tcPr>
          <w:p>
            <w:pPr>
              <w:pStyle w:val="TableContents"/>
              <w:bidi w:val="0"/>
              <w:spacing w:before="0" w:after="283"/>
              <w:jc w:val="left"/>
              <w:rPr>
                <w:sz w:val="4"/>
                <w:szCs w:val="4"/>
              </w:rPr>
            </w:pPr>
            <w:r>
              <w:rPr>
                <w:sz w:val="4"/>
                <w:szCs w:val="4"/>
              </w:rPr>
            </w:r>
          </w:p>
        </w:tc>
      </w:tr>
      <w:tr>
        <w:trPr/>
        <w:tc>
          <w:tcPr>
            <w:tcW w:w="4324"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George Pavlov</w:t>
            </w:r>
          </w:p>
        </w:tc>
        <w:tc>
          <w:tcPr>
            <w:tcW w:w="120" w:type="dxa"/>
            <w:tcBorders/>
            <w:vAlign w:val="bottom"/>
          </w:tcPr>
          <w:p>
            <w:pPr>
              <w:pStyle w:val="TableContents"/>
              <w:bidi w:val="0"/>
              <w:spacing w:before="0" w:after="283"/>
              <w:jc w:val="left"/>
              <w:rPr/>
            </w:pPr>
            <w:r>
              <w:rPr/>
              <w:t>  </w:t>
            </w:r>
          </w:p>
        </w:tc>
        <w:tc>
          <w:tcPr>
            <w:tcW w:w="3531" w:type="dxa"/>
            <w:tcBorders/>
          </w:tcPr>
          <w:p>
            <w:pPr>
              <w:pStyle w:val="TableContents"/>
              <w:bidi w:val="0"/>
              <w:spacing w:before="0" w:after="283"/>
              <w:jc w:val="center"/>
              <w:rPr/>
            </w:pPr>
            <w:r>
              <w:rPr/>
              <w:t>Chair of the Board of Directors</w:t>
            </w:r>
          </w:p>
        </w:tc>
        <w:tc>
          <w:tcPr>
            <w:tcW w:w="196" w:type="dxa"/>
            <w:tcBorders/>
            <w:vAlign w:val="bottom"/>
          </w:tcPr>
          <w:p>
            <w:pPr>
              <w:pStyle w:val="TableContents"/>
              <w:bidi w:val="0"/>
              <w:spacing w:before="0" w:after="283"/>
              <w:jc w:val="left"/>
              <w:rPr/>
            </w:pPr>
            <w:r>
              <w:rPr/>
              <w:t> </w:t>
            </w:r>
          </w:p>
        </w:tc>
        <w:tc>
          <w:tcPr>
            <w:tcW w:w="2034" w:type="dxa"/>
            <w:tcBorders/>
          </w:tcPr>
          <w:p>
            <w:pPr>
              <w:pStyle w:val="TableContents"/>
              <w:bidi w:val="0"/>
              <w:spacing w:before="0" w:after="283"/>
              <w:jc w:val="center"/>
              <w:rPr/>
            </w:pPr>
            <w:r>
              <w:rPr/>
              <w:t>September 18, 2026</w:t>
            </w:r>
          </w:p>
        </w:tc>
      </w:tr>
      <w:tr>
        <w:trPr>
          <w:trHeight w:val="240" w:hRule="atLeast"/>
        </w:trPr>
        <w:tc>
          <w:tcPr>
            <w:tcW w:w="4324" w:type="dxa"/>
            <w:tcBorders/>
            <w:vAlign w:val="center"/>
          </w:tcPr>
          <w:p>
            <w:pPr>
              <w:pStyle w:val="TableContents"/>
              <w:bidi w:val="0"/>
              <w:spacing w:before="0" w:after="283"/>
              <w:jc w:val="left"/>
              <w:rPr>
                <w:sz w:val="4"/>
                <w:szCs w:val="4"/>
              </w:rPr>
            </w:pPr>
            <w:r>
              <w:rPr>
                <w:sz w:val="4"/>
                <w:szCs w:val="4"/>
              </w:rPr>
            </w:r>
          </w:p>
        </w:tc>
        <w:tc>
          <w:tcPr>
            <w:tcW w:w="3651" w:type="dxa"/>
            <w:gridSpan w:val="2"/>
            <w:tcBorders/>
            <w:vAlign w:val="center"/>
          </w:tcPr>
          <w:p>
            <w:pPr>
              <w:pStyle w:val="TableContents"/>
              <w:bidi w:val="0"/>
              <w:spacing w:before="0" w:after="283"/>
              <w:jc w:val="left"/>
              <w:rPr>
                <w:sz w:val="4"/>
                <w:szCs w:val="4"/>
              </w:rPr>
            </w:pPr>
            <w:r>
              <w:rPr>
                <w:sz w:val="4"/>
                <w:szCs w:val="4"/>
              </w:rPr>
            </w:r>
          </w:p>
        </w:tc>
        <w:tc>
          <w:tcPr>
            <w:tcW w:w="2230" w:type="dxa"/>
            <w:gridSpan w:val="2"/>
            <w:tcBorders/>
            <w:vAlign w:val="center"/>
          </w:tcPr>
          <w:p>
            <w:pPr>
              <w:pStyle w:val="TableContents"/>
              <w:bidi w:val="0"/>
              <w:spacing w:before="0" w:after="283"/>
              <w:jc w:val="left"/>
              <w:rPr>
                <w:sz w:val="4"/>
                <w:szCs w:val="4"/>
              </w:rPr>
            </w:pPr>
            <w:r>
              <w:rPr>
                <w:sz w:val="4"/>
                <w:szCs w:val="4"/>
              </w:rPr>
            </w:r>
          </w:p>
        </w:tc>
      </w:tr>
      <w:tr>
        <w:trPr/>
        <w:tc>
          <w:tcPr>
            <w:tcW w:w="4324"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Martin Babler</w:t>
            </w:r>
          </w:p>
        </w:tc>
        <w:tc>
          <w:tcPr>
            <w:tcW w:w="120" w:type="dxa"/>
            <w:tcBorders/>
            <w:vAlign w:val="bottom"/>
          </w:tcPr>
          <w:p>
            <w:pPr>
              <w:pStyle w:val="TableContents"/>
              <w:bidi w:val="0"/>
              <w:spacing w:before="0" w:after="283"/>
              <w:jc w:val="left"/>
              <w:rPr/>
            </w:pPr>
            <w:r>
              <w:rPr/>
              <w:t>  </w:t>
            </w:r>
          </w:p>
        </w:tc>
        <w:tc>
          <w:tcPr>
            <w:tcW w:w="3531" w:type="dxa"/>
            <w:tcBorders/>
          </w:tcPr>
          <w:p>
            <w:pPr>
              <w:pStyle w:val="TableContents"/>
              <w:bidi w:val="0"/>
              <w:spacing w:before="0" w:after="283"/>
              <w:jc w:val="center"/>
              <w:rPr/>
            </w:pPr>
            <w:r>
              <w:rPr/>
              <w:t>Director</w:t>
            </w:r>
          </w:p>
        </w:tc>
        <w:tc>
          <w:tcPr>
            <w:tcW w:w="196" w:type="dxa"/>
            <w:tcBorders/>
            <w:vAlign w:val="bottom"/>
          </w:tcPr>
          <w:p>
            <w:pPr>
              <w:pStyle w:val="TableContents"/>
              <w:bidi w:val="0"/>
              <w:spacing w:before="0" w:after="283"/>
              <w:jc w:val="left"/>
              <w:rPr/>
            </w:pPr>
            <w:r>
              <w:rPr/>
              <w:t> </w:t>
            </w:r>
          </w:p>
        </w:tc>
        <w:tc>
          <w:tcPr>
            <w:tcW w:w="2034" w:type="dxa"/>
            <w:tcBorders/>
          </w:tcPr>
          <w:p>
            <w:pPr>
              <w:pStyle w:val="TableContents"/>
              <w:bidi w:val="0"/>
              <w:spacing w:before="0" w:after="283"/>
              <w:jc w:val="center"/>
              <w:rPr/>
            </w:pPr>
            <w:r>
              <w:rPr/>
              <w:t>September 18, 2026</w:t>
            </w:r>
          </w:p>
        </w:tc>
      </w:tr>
      <w:tr>
        <w:trPr>
          <w:trHeight w:val="240" w:hRule="atLeast"/>
        </w:trPr>
        <w:tc>
          <w:tcPr>
            <w:tcW w:w="4324" w:type="dxa"/>
            <w:tcBorders/>
            <w:vAlign w:val="center"/>
          </w:tcPr>
          <w:p>
            <w:pPr>
              <w:pStyle w:val="TableContents"/>
              <w:bidi w:val="0"/>
              <w:spacing w:before="0" w:after="283"/>
              <w:jc w:val="left"/>
              <w:rPr>
                <w:sz w:val="4"/>
                <w:szCs w:val="4"/>
              </w:rPr>
            </w:pPr>
            <w:r>
              <w:rPr>
                <w:sz w:val="4"/>
                <w:szCs w:val="4"/>
              </w:rPr>
            </w:r>
          </w:p>
        </w:tc>
        <w:tc>
          <w:tcPr>
            <w:tcW w:w="3651" w:type="dxa"/>
            <w:gridSpan w:val="2"/>
            <w:tcBorders/>
            <w:vAlign w:val="center"/>
          </w:tcPr>
          <w:p>
            <w:pPr>
              <w:pStyle w:val="TableContents"/>
              <w:bidi w:val="0"/>
              <w:spacing w:before="0" w:after="283"/>
              <w:jc w:val="left"/>
              <w:rPr>
                <w:sz w:val="4"/>
                <w:szCs w:val="4"/>
              </w:rPr>
            </w:pPr>
            <w:r>
              <w:rPr>
                <w:sz w:val="4"/>
                <w:szCs w:val="4"/>
              </w:rPr>
            </w:r>
          </w:p>
        </w:tc>
        <w:tc>
          <w:tcPr>
            <w:tcW w:w="2230" w:type="dxa"/>
            <w:gridSpan w:val="2"/>
            <w:tcBorders/>
            <w:vAlign w:val="center"/>
          </w:tcPr>
          <w:p>
            <w:pPr>
              <w:pStyle w:val="TableContents"/>
              <w:bidi w:val="0"/>
              <w:spacing w:before="0" w:after="283"/>
              <w:jc w:val="left"/>
              <w:rPr>
                <w:sz w:val="4"/>
                <w:szCs w:val="4"/>
              </w:rPr>
            </w:pPr>
            <w:r>
              <w:rPr>
                <w:sz w:val="4"/>
                <w:szCs w:val="4"/>
              </w:rPr>
            </w:r>
          </w:p>
        </w:tc>
      </w:tr>
      <w:tr>
        <w:trPr/>
        <w:tc>
          <w:tcPr>
            <w:tcW w:w="4324"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Troy Cox</w:t>
            </w:r>
          </w:p>
        </w:tc>
        <w:tc>
          <w:tcPr>
            <w:tcW w:w="120" w:type="dxa"/>
            <w:tcBorders/>
            <w:vAlign w:val="bottom"/>
          </w:tcPr>
          <w:p>
            <w:pPr>
              <w:pStyle w:val="TableContents"/>
              <w:bidi w:val="0"/>
              <w:spacing w:before="0" w:after="283"/>
              <w:jc w:val="left"/>
              <w:rPr/>
            </w:pPr>
            <w:r>
              <w:rPr/>
              <w:t>  </w:t>
            </w:r>
          </w:p>
        </w:tc>
        <w:tc>
          <w:tcPr>
            <w:tcW w:w="3531" w:type="dxa"/>
            <w:tcBorders/>
          </w:tcPr>
          <w:p>
            <w:pPr>
              <w:pStyle w:val="TableContents"/>
              <w:bidi w:val="0"/>
              <w:spacing w:before="0" w:after="283"/>
              <w:jc w:val="center"/>
              <w:rPr/>
            </w:pPr>
            <w:r>
              <w:rPr/>
              <w:t>Director</w:t>
            </w:r>
          </w:p>
        </w:tc>
        <w:tc>
          <w:tcPr>
            <w:tcW w:w="196" w:type="dxa"/>
            <w:tcBorders/>
            <w:vAlign w:val="bottom"/>
          </w:tcPr>
          <w:p>
            <w:pPr>
              <w:pStyle w:val="TableContents"/>
              <w:bidi w:val="0"/>
              <w:spacing w:before="0" w:after="283"/>
              <w:jc w:val="left"/>
              <w:rPr/>
            </w:pPr>
            <w:r>
              <w:rPr/>
              <w:t> </w:t>
            </w:r>
          </w:p>
        </w:tc>
        <w:tc>
          <w:tcPr>
            <w:tcW w:w="2034" w:type="dxa"/>
            <w:tcBorders/>
          </w:tcPr>
          <w:p>
            <w:pPr>
              <w:pStyle w:val="TableContents"/>
              <w:bidi w:val="0"/>
              <w:spacing w:before="0" w:after="283"/>
              <w:jc w:val="center"/>
              <w:rPr/>
            </w:pPr>
            <w:r>
              <w:rPr/>
              <w:t>September 18, 2026</w:t>
            </w:r>
          </w:p>
        </w:tc>
      </w:tr>
      <w:tr>
        <w:trPr>
          <w:trHeight w:val="240" w:hRule="atLeast"/>
        </w:trPr>
        <w:tc>
          <w:tcPr>
            <w:tcW w:w="4324" w:type="dxa"/>
            <w:tcBorders/>
            <w:vAlign w:val="center"/>
          </w:tcPr>
          <w:p>
            <w:pPr>
              <w:pStyle w:val="TableContents"/>
              <w:bidi w:val="0"/>
              <w:spacing w:before="0" w:after="283"/>
              <w:jc w:val="left"/>
              <w:rPr>
                <w:sz w:val="4"/>
                <w:szCs w:val="4"/>
              </w:rPr>
            </w:pPr>
            <w:r>
              <w:rPr>
                <w:sz w:val="4"/>
                <w:szCs w:val="4"/>
              </w:rPr>
            </w:r>
          </w:p>
        </w:tc>
        <w:tc>
          <w:tcPr>
            <w:tcW w:w="3651" w:type="dxa"/>
            <w:gridSpan w:val="2"/>
            <w:tcBorders/>
            <w:vAlign w:val="center"/>
          </w:tcPr>
          <w:p>
            <w:pPr>
              <w:pStyle w:val="TableContents"/>
              <w:bidi w:val="0"/>
              <w:spacing w:before="0" w:after="283"/>
              <w:jc w:val="left"/>
              <w:rPr>
                <w:sz w:val="4"/>
                <w:szCs w:val="4"/>
              </w:rPr>
            </w:pPr>
            <w:r>
              <w:rPr>
                <w:sz w:val="4"/>
                <w:szCs w:val="4"/>
              </w:rPr>
            </w:r>
          </w:p>
        </w:tc>
        <w:tc>
          <w:tcPr>
            <w:tcW w:w="2230" w:type="dxa"/>
            <w:gridSpan w:val="2"/>
            <w:tcBorders/>
            <w:vAlign w:val="center"/>
          </w:tcPr>
          <w:p>
            <w:pPr>
              <w:pStyle w:val="TableContents"/>
              <w:bidi w:val="0"/>
              <w:spacing w:before="0" w:after="283"/>
              <w:jc w:val="left"/>
              <w:rPr>
                <w:sz w:val="4"/>
                <w:szCs w:val="4"/>
              </w:rPr>
            </w:pPr>
            <w:r>
              <w:rPr>
                <w:sz w:val="4"/>
                <w:szCs w:val="4"/>
              </w:rPr>
            </w:r>
          </w:p>
        </w:tc>
      </w:tr>
      <w:tr>
        <w:trPr/>
        <w:tc>
          <w:tcPr>
            <w:tcW w:w="4324"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Timothy Garnett, M.B.B.S.</w:t>
            </w:r>
          </w:p>
        </w:tc>
        <w:tc>
          <w:tcPr>
            <w:tcW w:w="120" w:type="dxa"/>
            <w:tcBorders/>
            <w:vAlign w:val="bottom"/>
          </w:tcPr>
          <w:p>
            <w:pPr>
              <w:pStyle w:val="TableContents"/>
              <w:bidi w:val="0"/>
              <w:spacing w:before="0" w:after="283"/>
              <w:jc w:val="left"/>
              <w:rPr/>
            </w:pPr>
            <w:r>
              <w:rPr/>
              <w:t>  </w:t>
            </w:r>
          </w:p>
        </w:tc>
        <w:tc>
          <w:tcPr>
            <w:tcW w:w="3531" w:type="dxa"/>
            <w:tcBorders/>
          </w:tcPr>
          <w:p>
            <w:pPr>
              <w:pStyle w:val="TableContents"/>
              <w:bidi w:val="0"/>
              <w:spacing w:before="0" w:after="283"/>
              <w:jc w:val="center"/>
              <w:rPr/>
            </w:pPr>
            <w:r>
              <w:rPr/>
              <w:t>Director</w:t>
            </w:r>
          </w:p>
        </w:tc>
        <w:tc>
          <w:tcPr>
            <w:tcW w:w="196" w:type="dxa"/>
            <w:tcBorders/>
            <w:vAlign w:val="bottom"/>
          </w:tcPr>
          <w:p>
            <w:pPr>
              <w:pStyle w:val="TableContents"/>
              <w:bidi w:val="0"/>
              <w:spacing w:before="0" w:after="283"/>
              <w:jc w:val="left"/>
              <w:rPr/>
            </w:pPr>
            <w:r>
              <w:rPr/>
              <w:t> </w:t>
            </w:r>
          </w:p>
        </w:tc>
        <w:tc>
          <w:tcPr>
            <w:tcW w:w="2034" w:type="dxa"/>
            <w:tcBorders/>
          </w:tcPr>
          <w:p>
            <w:pPr>
              <w:pStyle w:val="TableContents"/>
              <w:bidi w:val="0"/>
              <w:spacing w:before="0" w:after="283"/>
              <w:jc w:val="center"/>
              <w:rPr/>
            </w:pPr>
            <w:r>
              <w:rPr/>
              <w:t>September 18, 2026</w:t>
            </w:r>
          </w:p>
        </w:tc>
      </w:tr>
      <w:tr>
        <w:trPr>
          <w:trHeight w:val="240" w:hRule="atLeast"/>
        </w:trPr>
        <w:tc>
          <w:tcPr>
            <w:tcW w:w="4324" w:type="dxa"/>
            <w:tcBorders/>
            <w:vAlign w:val="center"/>
          </w:tcPr>
          <w:p>
            <w:pPr>
              <w:pStyle w:val="TableContents"/>
              <w:bidi w:val="0"/>
              <w:spacing w:before="0" w:after="283"/>
              <w:jc w:val="left"/>
              <w:rPr>
                <w:sz w:val="4"/>
                <w:szCs w:val="4"/>
              </w:rPr>
            </w:pPr>
            <w:r>
              <w:rPr>
                <w:sz w:val="4"/>
                <w:szCs w:val="4"/>
              </w:rPr>
            </w:r>
          </w:p>
        </w:tc>
        <w:tc>
          <w:tcPr>
            <w:tcW w:w="3651" w:type="dxa"/>
            <w:gridSpan w:val="2"/>
            <w:tcBorders/>
            <w:vAlign w:val="center"/>
          </w:tcPr>
          <w:p>
            <w:pPr>
              <w:pStyle w:val="TableContents"/>
              <w:bidi w:val="0"/>
              <w:spacing w:before="0" w:after="283"/>
              <w:jc w:val="left"/>
              <w:rPr>
                <w:sz w:val="4"/>
                <w:szCs w:val="4"/>
              </w:rPr>
            </w:pPr>
            <w:r>
              <w:rPr>
                <w:sz w:val="4"/>
                <w:szCs w:val="4"/>
              </w:rPr>
            </w:r>
          </w:p>
        </w:tc>
        <w:tc>
          <w:tcPr>
            <w:tcW w:w="2230" w:type="dxa"/>
            <w:gridSpan w:val="2"/>
            <w:tcBorders/>
            <w:vAlign w:val="center"/>
          </w:tcPr>
          <w:p>
            <w:pPr>
              <w:pStyle w:val="TableContents"/>
              <w:bidi w:val="0"/>
              <w:spacing w:before="0" w:after="283"/>
              <w:jc w:val="left"/>
              <w:rPr>
                <w:sz w:val="4"/>
                <w:szCs w:val="4"/>
              </w:rPr>
            </w:pPr>
            <w:r>
              <w:rPr>
                <w:sz w:val="4"/>
                <w:szCs w:val="4"/>
              </w:rPr>
            </w:r>
          </w:p>
        </w:tc>
      </w:tr>
      <w:tr>
        <w:trPr/>
        <w:tc>
          <w:tcPr>
            <w:tcW w:w="4324"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Nanna Lüneborg, Ph.D.</w:t>
            </w:r>
          </w:p>
        </w:tc>
        <w:tc>
          <w:tcPr>
            <w:tcW w:w="120" w:type="dxa"/>
            <w:tcBorders/>
            <w:vAlign w:val="bottom"/>
          </w:tcPr>
          <w:p>
            <w:pPr>
              <w:pStyle w:val="TableContents"/>
              <w:bidi w:val="0"/>
              <w:spacing w:before="0" w:after="283"/>
              <w:jc w:val="left"/>
              <w:rPr/>
            </w:pPr>
            <w:r>
              <w:rPr/>
              <w:t>  </w:t>
            </w:r>
          </w:p>
        </w:tc>
        <w:tc>
          <w:tcPr>
            <w:tcW w:w="3531" w:type="dxa"/>
            <w:tcBorders/>
          </w:tcPr>
          <w:p>
            <w:pPr>
              <w:pStyle w:val="TableContents"/>
              <w:bidi w:val="0"/>
              <w:spacing w:before="0" w:after="283"/>
              <w:jc w:val="center"/>
              <w:rPr/>
            </w:pPr>
            <w:r>
              <w:rPr/>
              <w:t>Director</w:t>
            </w:r>
          </w:p>
        </w:tc>
        <w:tc>
          <w:tcPr>
            <w:tcW w:w="196" w:type="dxa"/>
            <w:tcBorders/>
            <w:vAlign w:val="bottom"/>
          </w:tcPr>
          <w:p>
            <w:pPr>
              <w:pStyle w:val="TableContents"/>
              <w:bidi w:val="0"/>
              <w:spacing w:before="0" w:after="283"/>
              <w:jc w:val="left"/>
              <w:rPr/>
            </w:pPr>
            <w:r>
              <w:rPr/>
              <w:t> </w:t>
            </w:r>
          </w:p>
        </w:tc>
        <w:tc>
          <w:tcPr>
            <w:tcW w:w="2034" w:type="dxa"/>
            <w:tcBorders/>
          </w:tcPr>
          <w:p>
            <w:pPr>
              <w:pStyle w:val="TableContents"/>
              <w:bidi w:val="0"/>
              <w:spacing w:before="0" w:after="283"/>
              <w:jc w:val="center"/>
              <w:rPr/>
            </w:pPr>
            <w:r>
              <w:rPr/>
              <w:t>September 18, 2026</w:t>
            </w:r>
          </w:p>
        </w:tc>
      </w:tr>
      <w:tr>
        <w:trPr>
          <w:trHeight w:val="240" w:hRule="atLeast"/>
        </w:trPr>
        <w:tc>
          <w:tcPr>
            <w:tcW w:w="4324" w:type="dxa"/>
            <w:tcBorders/>
            <w:vAlign w:val="center"/>
          </w:tcPr>
          <w:p>
            <w:pPr>
              <w:pStyle w:val="TableContents"/>
              <w:bidi w:val="0"/>
              <w:spacing w:before="0" w:after="283"/>
              <w:jc w:val="left"/>
              <w:rPr>
                <w:sz w:val="4"/>
                <w:szCs w:val="4"/>
              </w:rPr>
            </w:pPr>
            <w:r>
              <w:rPr>
                <w:sz w:val="4"/>
                <w:szCs w:val="4"/>
              </w:rPr>
            </w:r>
          </w:p>
        </w:tc>
        <w:tc>
          <w:tcPr>
            <w:tcW w:w="3651" w:type="dxa"/>
            <w:gridSpan w:val="2"/>
            <w:tcBorders/>
            <w:vAlign w:val="center"/>
          </w:tcPr>
          <w:p>
            <w:pPr>
              <w:pStyle w:val="TableContents"/>
              <w:bidi w:val="0"/>
              <w:spacing w:before="0" w:after="283"/>
              <w:jc w:val="left"/>
              <w:rPr>
                <w:sz w:val="4"/>
                <w:szCs w:val="4"/>
              </w:rPr>
            </w:pPr>
            <w:r>
              <w:rPr>
                <w:sz w:val="4"/>
                <w:szCs w:val="4"/>
              </w:rPr>
            </w:r>
          </w:p>
        </w:tc>
        <w:tc>
          <w:tcPr>
            <w:tcW w:w="2230" w:type="dxa"/>
            <w:gridSpan w:val="2"/>
            <w:tcBorders/>
            <w:vAlign w:val="center"/>
          </w:tcPr>
          <w:p>
            <w:pPr>
              <w:pStyle w:val="TableContents"/>
              <w:bidi w:val="0"/>
              <w:spacing w:before="0" w:after="283"/>
              <w:jc w:val="left"/>
              <w:rPr>
                <w:sz w:val="4"/>
                <w:szCs w:val="4"/>
              </w:rPr>
            </w:pPr>
            <w:r>
              <w:rPr>
                <w:sz w:val="4"/>
                <w:szCs w:val="4"/>
              </w:rPr>
            </w:r>
          </w:p>
        </w:tc>
      </w:tr>
      <w:tr>
        <w:trPr/>
        <w:tc>
          <w:tcPr>
            <w:tcW w:w="4324"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Maria Walker</w:t>
            </w:r>
          </w:p>
        </w:tc>
        <w:tc>
          <w:tcPr>
            <w:tcW w:w="120" w:type="dxa"/>
            <w:tcBorders/>
            <w:vAlign w:val="bottom"/>
          </w:tcPr>
          <w:p>
            <w:pPr>
              <w:pStyle w:val="TableContents"/>
              <w:bidi w:val="0"/>
              <w:spacing w:before="0" w:after="283"/>
              <w:jc w:val="left"/>
              <w:rPr/>
            </w:pPr>
            <w:r>
              <w:rPr/>
              <w:t>  </w:t>
            </w:r>
          </w:p>
        </w:tc>
        <w:tc>
          <w:tcPr>
            <w:tcW w:w="3531" w:type="dxa"/>
            <w:tcBorders/>
          </w:tcPr>
          <w:p>
            <w:pPr>
              <w:pStyle w:val="TableContents"/>
              <w:bidi w:val="0"/>
              <w:spacing w:before="0" w:after="283"/>
              <w:jc w:val="center"/>
              <w:rPr/>
            </w:pPr>
            <w:r>
              <w:rPr/>
              <w:t>Director</w:t>
            </w:r>
          </w:p>
        </w:tc>
        <w:tc>
          <w:tcPr>
            <w:tcW w:w="196" w:type="dxa"/>
            <w:tcBorders/>
            <w:vAlign w:val="bottom"/>
          </w:tcPr>
          <w:p>
            <w:pPr>
              <w:pStyle w:val="TableContents"/>
              <w:bidi w:val="0"/>
              <w:spacing w:before="0" w:after="283"/>
              <w:jc w:val="left"/>
              <w:rPr/>
            </w:pPr>
            <w:r>
              <w:rPr/>
              <w:t> </w:t>
            </w:r>
          </w:p>
        </w:tc>
        <w:tc>
          <w:tcPr>
            <w:tcW w:w="2034" w:type="dxa"/>
            <w:tcBorders/>
          </w:tcPr>
          <w:p>
            <w:pPr>
              <w:pStyle w:val="TableContents"/>
              <w:bidi w:val="0"/>
              <w:spacing w:before="0" w:after="283"/>
              <w:jc w:val="center"/>
              <w:rPr/>
            </w:pPr>
            <w:r>
              <w:rPr/>
              <w:t>September 18, 2026</w:t>
            </w:r>
          </w:p>
        </w:tc>
      </w:tr>
    </w:tbl>
    <w:tbl>
      <w:tblPr>
        <w:tblW w:w="2000" w:type="pct"/>
        <w:jc w:val="left"/>
        <w:tblInd w:w="0" w:type="dxa"/>
        <w:tblLayout w:type="fixed"/>
        <w:tblCellMar>
          <w:top w:w="0" w:type="dxa"/>
          <w:left w:w="0" w:type="dxa"/>
          <w:bottom w:w="0" w:type="dxa"/>
          <w:right w:w="0" w:type="dxa"/>
        </w:tblCellMar>
      </w:tblPr>
      <w:tblGrid>
        <w:gridCol w:w="140"/>
        <w:gridCol w:w="95"/>
        <w:gridCol w:w="3847"/>
      </w:tblGrid>
      <w:tr>
        <w:trPr/>
        <w:tc>
          <w:tcPr>
            <w:tcW w:w="140"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3847"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140" w:type="dxa"/>
            <w:tcBorders/>
            <w:vAlign w:val="center"/>
          </w:tcPr>
          <w:p>
            <w:pPr>
              <w:pStyle w:val="TableContents"/>
              <w:bidi w:val="0"/>
              <w:spacing w:before="0" w:after="283"/>
              <w:jc w:val="left"/>
              <w:rPr>
                <w:sz w:val="4"/>
                <w:szCs w:val="4"/>
              </w:rPr>
            </w:pPr>
            <w:r>
              <w:rPr>
                <w:sz w:val="4"/>
                <w:szCs w:val="4"/>
              </w:rPr>
            </w:r>
          </w:p>
        </w:tc>
        <w:tc>
          <w:tcPr>
            <w:tcW w:w="3942" w:type="dxa"/>
            <w:gridSpan w:val="2"/>
            <w:tcBorders/>
            <w:vAlign w:val="center"/>
          </w:tcPr>
          <w:p>
            <w:pPr>
              <w:pStyle w:val="TableContents"/>
              <w:bidi w:val="0"/>
              <w:spacing w:before="0" w:after="283"/>
              <w:jc w:val="left"/>
              <w:rPr>
                <w:sz w:val="4"/>
                <w:szCs w:val="4"/>
              </w:rPr>
            </w:pPr>
            <w:r>
              <w:rPr>
                <w:sz w:val="4"/>
                <w:szCs w:val="4"/>
              </w:rPr>
            </w:r>
          </w:p>
        </w:tc>
      </w:tr>
      <w:tr>
        <w:trPr/>
        <w:tc>
          <w:tcPr>
            <w:tcW w:w="140" w:type="dxa"/>
            <w:tcBorders/>
          </w:tcPr>
          <w:p>
            <w:pPr>
              <w:pStyle w:val="TableContents"/>
              <w:bidi w:val="0"/>
              <w:spacing w:before="0" w:after="283"/>
              <w:jc w:val="left"/>
              <w:rPr/>
            </w:pPr>
            <w:r>
              <w:rPr/>
              <w:t>*</w:t>
            </w:r>
          </w:p>
        </w:tc>
        <w:tc>
          <w:tcPr>
            <w:tcW w:w="95" w:type="dxa"/>
            <w:tcBorders>
              <w:bottom w:val="single" w:sz="2" w:space="0" w:color="000000"/>
            </w:tcBorders>
            <w:tcMar>
              <w:bottom w:w="28" w:type="dxa"/>
            </w:tcMar>
            <w:vAlign w:val="bottom"/>
          </w:tcPr>
          <w:p>
            <w:pPr>
              <w:pStyle w:val="TableContents"/>
              <w:bidi w:val="0"/>
              <w:spacing w:before="0" w:after="283"/>
              <w:jc w:val="left"/>
              <w:rPr/>
            </w:pPr>
            <w:r>
              <w:rPr/>
              <w:t> </w:t>
            </w:r>
          </w:p>
        </w:tc>
        <w:tc>
          <w:tcPr>
            <w:tcW w:w="3847" w:type="dxa"/>
            <w:tcBorders>
              <w:bottom w:val="single" w:sz="2" w:space="0" w:color="000000"/>
            </w:tcBorders>
            <w:tcMar>
              <w:bottom w:w="28" w:type="dxa"/>
            </w:tcMar>
          </w:tcPr>
          <w:p>
            <w:pPr>
              <w:pStyle w:val="TableContents"/>
              <w:bidi w:val="0"/>
              <w:spacing w:before="0" w:after="283"/>
              <w:jc w:val="left"/>
              <w:rPr/>
            </w:pPr>
            <w:r>
              <w:rPr/>
              <w:t>/s/ Christopher A. Kroeger, M.D.</w:t>
            </w:r>
          </w:p>
        </w:tc>
      </w:tr>
      <w:tr>
        <w:trPr/>
        <w:tc>
          <w:tcPr>
            <w:tcW w:w="140" w:type="dxa"/>
            <w:tcBorders/>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3847" w:type="dxa"/>
            <w:tcBorders/>
            <w:vAlign w:val="bottom"/>
          </w:tcPr>
          <w:p>
            <w:pPr>
              <w:pStyle w:val="TableContents"/>
              <w:bidi w:val="0"/>
              <w:spacing w:before="0" w:after="283"/>
              <w:jc w:val="left"/>
              <w:rPr/>
            </w:pPr>
            <w:r>
              <w:rPr/>
              <w:t>Christopher A. Kroeger, M.D.</w:t>
            </w:r>
          </w:p>
        </w:tc>
      </w:tr>
      <w:tr>
        <w:trPr/>
        <w:tc>
          <w:tcPr>
            <w:tcW w:w="140" w:type="dxa"/>
            <w:tcBorders/>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3847" w:type="dxa"/>
            <w:tcBorders/>
            <w:vAlign w:val="bottom"/>
          </w:tcPr>
          <w:p>
            <w:pPr>
              <w:pStyle w:val="TableContents"/>
              <w:bidi w:val="0"/>
              <w:spacing w:before="0" w:after="283"/>
              <w:jc w:val="left"/>
              <w:rPr/>
            </w:pPr>
            <w:r>
              <w:rPr/>
              <w:t>Attorney-in-fact</w:t>
            </w:r>
          </w:p>
        </w:tc>
      </w:tr>
    </w:tbl>
    <w:p>
      <w:pPr>
        <w:pStyle w:val="TextBody"/>
        <w:bidi w:val="0"/>
        <w:spacing w:before="0" w:after="0"/>
        <w:jc w:val="right"/>
        <w:rPr>
          <w:rFonts w:ascii="Times New Roman" w:hAnsi="Times New Roman"/>
          <w:b/>
          <w:sz w:val="20"/>
        </w:rPr>
      </w:pPr>
      <w:bookmarkStart w:id="15" w:name="d546679dex231.htm"/>
      <w:bookmarkStart w:id="16" w:name="ksd546679dex231"/>
      <w:bookmarkEnd w:id="15"/>
      <w:bookmarkEnd w:id="16"/>
      <w:r>
        <w:rPr>
          <w:rFonts w:ascii="Times New Roman" w:hAnsi="Times New Roman"/>
          <w:b/>
          <w:sz w:val="20"/>
        </w:rPr>
        <w:t xml:space="preserve">Exhibit 23.1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incorporation by reference in this Amendment No. 1 to the Registration Statement on Form S-1 (No. 333-298837) and related prospectus of Maplight Therapeutics, Inc. of our report dated March 26, 2026, relating to the consolidated financial statements of Maplight Therapeutics, Inc. and its subsidiary, appearing in the Annual Report on Form 10-K of Maplight Therapeutics, Inc. for the year ended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We also consent to the reference to our firm under the heading “Experts” in such prospectus. </w:t>
      </w:r>
    </w:p>
    <w:p>
      <w:pPr>
        <w:pStyle w:val="TextBody"/>
        <w:bidi w:val="0"/>
        <w:spacing w:before="240" w:after="0"/>
        <w:jc w:val="left"/>
        <w:rPr>
          <w:rFonts w:ascii="Times New Roman" w:hAnsi="Times New Roman"/>
          <w:sz w:val="20"/>
        </w:rPr>
      </w:pPr>
      <w:r>
        <w:rPr>
          <w:rFonts w:ascii="Times New Roman" w:hAnsi="Times New Roman"/>
          <w:sz w:val="20"/>
        </w:rPr>
        <w:t xml:space="preserve">/s/ RSM US LLP </w:t>
      </w:r>
    </w:p>
    <w:p>
      <w:pPr>
        <w:pStyle w:val="TextBody"/>
        <w:bidi w:val="0"/>
        <w:spacing w:before="240" w:after="0"/>
        <w:jc w:val="left"/>
        <w:rPr>
          <w:rFonts w:ascii="Times New Roman" w:hAnsi="Times New Roman"/>
          <w:sz w:val="20"/>
        </w:rPr>
      </w:pPr>
      <w:r>
        <w:rPr>
          <w:rFonts w:ascii="Times New Roman" w:hAnsi="Times New Roman"/>
          <w:sz w:val="20"/>
        </w:rPr>
        <w:t xml:space="preserve">Boston, Massachusetts </w:t>
      </w:r>
    </w:p>
    <w:p>
      <w:pPr>
        <w:pStyle w:val="TextBody"/>
        <w:bidi w:val="0"/>
        <w:spacing w:before="0" w:after="0"/>
        <w:jc w:val="left"/>
        <w:rPr>
          <w:rFonts w:ascii="Times New Roman" w:hAnsi="Times New Roman"/>
          <w:sz w:val="20"/>
        </w:rPr>
      </w:pPr>
      <w:r>
        <w:rPr>
          <w:rFonts w:ascii="Times New Roman" w:hAnsi="Times New Roman"/>
          <w:sz w:val="20"/>
        </w:rPr>
        <w:t xml:space="preserve">September 18, 2026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770069/000119312526125072/mplt-20251231.htm" TargetMode="External"/><Relationship Id="rId4" Type="http://schemas.openxmlformats.org/officeDocument/2006/relationships/hyperlink" Target="http://www.sec.gov/Archives/edgar/data/../../../ix?doc=/Archives/edgar/data/1770069/000119312526191449/d121249ddef14a.htm" TargetMode="External"/><Relationship Id="rId5" Type="http://schemas.openxmlformats.org/officeDocument/2006/relationships/hyperlink" Target="http://www.sec.gov/Archives/edgar/data/../../../ix?doc=/Archives/edgar/data/1770069/000119312526224129/mplt-20260331.htm" TargetMode="External"/><Relationship Id="rId6" Type="http://schemas.openxmlformats.org/officeDocument/2006/relationships/hyperlink" Target="http://www.sec.gov/Archives/edgar/data/../../../ix?doc=/Archives/edgar/data/1770069/000119312526349554/mplt-20260630.htm" TargetMode="External"/><Relationship Id="rId7" Type="http://schemas.openxmlformats.org/officeDocument/2006/relationships/hyperlink" Target="http://www.sec.gov/Archives/edgar/data/../../../ix?doc=/Archives/edgar/data/1770069/000119312526191566/d114505d8k.htm" TargetMode="External"/><Relationship Id="rId8" Type="http://schemas.openxmlformats.org/officeDocument/2006/relationships/hyperlink" Target="http://www.sec.gov/Archives/edgar/data/../../../ix?doc=/Archives/edgar/data/1770069/000119312526276065/d227825d8k.htm" TargetMode="External"/><Relationship Id="rId9" Type="http://schemas.openxmlformats.org/officeDocument/2006/relationships/hyperlink" Target="http://www.sec.gov/Archives/edgar/data/../../../ix?doc=/Archives/edgar/data/1770069/000119312526276691/d31456d8k.htm" TargetMode="External"/><Relationship Id="rId10" Type="http://schemas.openxmlformats.org/officeDocument/2006/relationships/hyperlink" Target="http://www.sec.gov/Archives/edgar/data/../../../ix?doc=/Archives/edgar/data/1770069/000119312526280243/d119921d8k.htm" TargetMode="External"/><Relationship Id="rId11" Type="http://schemas.openxmlformats.org/officeDocument/2006/relationships/hyperlink" Target="http://www.sec.gov/Archives/edgar/data/../../../ix?doc=/Archives/edgar/data/1770069/000119312526316820/d139086d8k.htm" TargetMode="External"/><Relationship Id="rId12" Type="http://schemas.openxmlformats.org/officeDocument/2006/relationships/hyperlink" Target="http://www.sec.gov/Archives/edgar/data/../../../ix?doc=/Archives/edgar/data/1770069/000119312526349490/d48818d8k.htm" TargetMode="External"/><Relationship Id="rId13" Type="http://schemas.openxmlformats.org/officeDocument/2006/relationships/hyperlink" Target="http://www.sec.gov/Archives/edgar/data/1770069/000119312525249941/d48773d8a12b.htm" TargetMode="External"/><Relationship Id="rId14" Type="http://schemas.openxmlformats.org/officeDocument/2006/relationships/hyperlink" Target="http://www.sec.gov/Archives/edgar/data/1770069/000119312526125072/mplt-ex4_2.htm" TargetMode="External"/><Relationship Id="rId15" Type="http://schemas.openxmlformats.org/officeDocument/2006/relationships/image" Target="media/image1.jpeg"/><Relationship Id="rId16" Type="http://schemas.openxmlformats.org/officeDocument/2006/relationships/hyperlink" Target="http://www.sec.gov/Archives/edgar/data/1770069/000119312525255041/d89036dex31.htm" TargetMode="External"/><Relationship Id="rId17" Type="http://schemas.openxmlformats.org/officeDocument/2006/relationships/hyperlink" Target="http://www.sec.gov/Archives/edgar/data/1770069/000119312525255041/d89036dex32.htm" TargetMode="External"/><Relationship Id="rId18" Type="http://schemas.openxmlformats.org/officeDocument/2006/relationships/hyperlink" Target="http://www.sec.gov/Archives/edgar/data/1770069/000119312525209084/d741179dex41.htm" TargetMode="External"/><Relationship Id="rId19" Type="http://schemas.openxmlformats.org/officeDocument/2006/relationships/hyperlink" Target="http://www.sec.gov/Archives/edgar/data/1770069/000119312526349490/d48818dex41.htm" TargetMode="External"/><Relationship Id="rId20" Type="http://schemas.openxmlformats.org/officeDocument/2006/relationships/hyperlink" Target="http://www.sec.gov/Archives/edgar/data/1770069/000119312526386648/d546679dex51.htm" TargetMode="External"/><Relationship Id="rId21" Type="http://schemas.openxmlformats.org/officeDocument/2006/relationships/hyperlink" Target="http://www.sec.gov/Archives/edgar/data/1770069/000119312525209084/d741179dex101.htm" TargetMode="External"/><Relationship Id="rId22" Type="http://schemas.openxmlformats.org/officeDocument/2006/relationships/hyperlink" Target="http://www.sec.gov/Archives/edgar/data/1770069/000119312525231829/d90027dex102.htm" TargetMode="External"/><Relationship Id="rId23" Type="http://schemas.openxmlformats.org/officeDocument/2006/relationships/hyperlink" Target="http://www.sec.gov/Archives/edgar/data/1770069/000119312525231829/d90027dex103.htm" TargetMode="External"/><Relationship Id="rId24" Type="http://schemas.openxmlformats.org/officeDocument/2006/relationships/hyperlink" Target="http://www.sec.gov/Archives/edgar/data/1770069/000119312525209084/d741179dex104.htm" TargetMode="External"/><Relationship Id="rId25" Type="http://schemas.openxmlformats.org/officeDocument/2006/relationships/hyperlink" Target="http://www.sec.gov/Archives/edgar/data/1770069/000119312525307453/mplt-ex10_5.htm" TargetMode="External"/><Relationship Id="rId26" Type="http://schemas.openxmlformats.org/officeDocument/2006/relationships/hyperlink" Target="http://www.sec.gov/Archives/edgar/data/1770069/000119312525307453/mplt-ex10_7.htm" TargetMode="External"/><Relationship Id="rId27" Type="http://schemas.openxmlformats.org/officeDocument/2006/relationships/hyperlink" Target="http://www.sec.gov/Archives/edgar/data/1770069/000119312526349554/mplt-ex10_1.htm" TargetMode="External"/><Relationship Id="rId28" Type="http://schemas.openxmlformats.org/officeDocument/2006/relationships/hyperlink" Target="http://www.sec.gov/Archives/edgar/data/1770069/000119312525209084/d741179dex1010.htm" TargetMode="External"/><Relationship Id="rId29" Type="http://schemas.openxmlformats.org/officeDocument/2006/relationships/hyperlink" Target="http://www.sec.gov/Archives/edgar/data/1770069/000119312526224129/mplt-ex10_1.htm" TargetMode="External"/><Relationship Id="rId30" Type="http://schemas.openxmlformats.org/officeDocument/2006/relationships/hyperlink" Target="http://www.sec.gov/Archives/edgar/data/1770069/000119312525209084/d741179dex108.htm" TargetMode="External"/><Relationship Id="rId31" Type="http://schemas.openxmlformats.org/officeDocument/2006/relationships/hyperlink" Target="http://www.sec.gov/Archives/edgar/data/1770069/000119312526349490/d48818dex101.htm" TargetMode="External"/><Relationship Id="rId32" Type="http://schemas.openxmlformats.org/officeDocument/2006/relationships/hyperlink" Target="http://www.sec.gov/Archives/edgar/data/1770069/000119312526349490/d48818dex102.htm" TargetMode="External"/><Relationship Id="rId33" Type="http://schemas.openxmlformats.org/officeDocument/2006/relationships/hyperlink" Target="http://www.sec.gov/Archives/edgar/data/1770069/000119312526386648/d546679dex211.htm" TargetMode="External"/><Relationship Id="rId34" Type="http://schemas.openxmlformats.org/officeDocument/2006/relationships/hyperlink" Target="http://www.sec.gov/Archives/edgar/data/1770069/000119312526386648/d546679dex51.htm" TargetMode="External"/><Relationship Id="rId35" Type="http://schemas.openxmlformats.org/officeDocument/2006/relationships/hyperlink" Target="http://www.sec.gov/Archives/edgar/data/../../../ix?doc=/Archives/edgar/data/1770069/000119312526386648/d546679dexfilingfees.htm" TargetMode="External"/><Relationship Id="rId36" Type="http://schemas.openxmlformats.org/officeDocument/2006/relationships/fontTable" Target="fontTable.xml"/><Relationship Id="rId3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31</Pages>
  <Words>14992</Words>
  <Characters>81187</Characters>
  <CharactersWithSpaces>96657</CharactersWithSpaces>
  <Paragraphs>1282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EX-23.1</dc:title>
</cp:coreProperties>
</file>