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6679d424b3.htm"/>
        <w:bookmarkStart w:id="1" w:name="ksd546679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333-298837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3735" cy="353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13,181,055 shares of common stock, par value $0.0001 per share, of MapLight Therapeutics, Inc., held by the selling stockholders, which consists of (i) 9,197,887 shares of common stock and (ii) 3,983,168 shares of common stock issuable upon the exercise of outstanding pre-funded warrants to purchase shares of common stock held by certain of the selling stockholders, all of which were issued by us in a private placement, or the Private Placement, which closed on August 14, 2026. </w:t>
      </w:r>
    </w:p>
    <w:p>
      <w:pPr>
        <w:pStyle w:val="TextBody"/>
        <w:bidi w:val="0"/>
        <w:spacing w:before="240" w:after="0"/>
        <w:jc w:val="left"/>
        <w:rPr>
          <w:rFonts w:ascii="Times New Roman" w:hAnsi="Times New Roman"/>
          <w:sz w:val="20"/>
        </w:rPr>
      </w:pPr>
      <w:r>
        <w:rPr>
          <w:rFonts w:ascii="Times New Roman" w:hAnsi="Times New Roman"/>
          <w:sz w:val="20"/>
        </w:rPr>
        <w:t xml:space="preserve">We have two series of common stock: the voting common stock offered hereby and non-voting common stock. We are registering the offer and resale of shares of voting common stock, and unless otherwise noted, all references in this prospectus to our “common stock” refer to our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offer and sale of the shares of common stock from time to time by the selling stockholders to satisfy the registration rights they were granted in connection with the Private Placement.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“Plan of Distribution” for more information. 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relating to the sale of common stock, which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“MPLT.” On September 22, 2026, the last reported sale price for our common stock on the Nasdaq Global Select Market was $10.86 per share.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a “smaller reporting company” as defined under the U.S. federal securities laws and, as such, we have elected to comply with certain reduced reporting requirements for this prospectus and the documents incorporated by reference herein and may elect to do so in future filings. See the section titled “Prospectus Summary—Implications of Being an Emerging Growth Company and a Smaller Reporting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the section titled “</w:t>
      </w:r>
      <w:hyperlink w:anchor="tx546679_4">
        <w:r>
          <w:rPr>
            <w:rStyle w:val="InternetLink"/>
            <w:rFonts w:ascii="Times New Roman" w:hAnsi="Times New Roman"/>
            <w:b/>
            <w:sz w:val="24"/>
          </w:rPr>
          <w:t>Risk Factors</w:t>
        </w:r>
      </w:hyperlink>
      <w:r>
        <w:rPr>
          <w:rFonts w:ascii="Times New Roman" w:hAnsi="Times New Roman"/>
          <w:b/>
          <w:sz w:val="24"/>
        </w:rPr>
        <w:t>” beginning on page 6 of this prospectus and under similar headings in the documents incorporated by reference into this prospectus to read about factors you should consider before buying shares of our common stock.</w:t>
      </w:r>
      <w:r>
        <w:rPr>
          <w:rFonts w:ascii="Times New Roman" w:hAnsi="Times New Roman"/>
          <w:sz w:val="24"/>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b/>
          <w:sz w:val="20"/>
        </w:rPr>
        <w:t>The date of this prospectus is September 23, 2026</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5466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13,181,055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To the extent there is a conflict between the information contained in this prospectus, on the one hand, and the information contained in any document incorporated by reference filed with the Securities and Exchange Commission, or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MapLight Therapeutics, Inc., a Delaware corporation,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MapLight Therapeutics is our trademark and is used in this prospectus. This prospectus also includes trademarks, trade names and service marks that are the property of other organizations. Solely for convenience, the trademarks and trade names referred to in this prospectus appear without the ® and  symbol, but those references are not intended to indicate, in any way, that we will not assert, to the fullest extent under applicable law, our rights or the right of the applicable licensor to these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54667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herein contain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product candidates and markets and business trends and other information referred to under the sections titled “Prospectus Summary” and “Risk Factors” in this prospectus and the sections titled “Risk Factors,” “Management’s Discussion and Analysis of Financial Condition and Results of Operations” and “Business” in our Annual Report on Form 10-K for the year ended December 31, 2025 and “Risk Factors” and “Management’s Discussion and Analysis of Financial Condition and Results of Operations” in our Quarterly Report on Form 10-Q for the quarter ended June 30, 2026, which are incorporated by reference herein, are forward-looking statements. We have based these forward-looking statements largely on our current expectations and projections. In some cases, you can identify forward-looking statements because they contain words such as “anticipate,” “believe,” “can,” “contemplate,” “continue,” “could,” “design,” “estimate,” “expect,” “intend,” “may,” “might,” “objective,” “plan,” “potential,” “predict,” “project,” “shall,” “should,” “target,” “will,” or “would,” or the negative of these words or other similar terms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product candidates, including statements regarding the timing of initiation and completion of studies or trials and related preparatory work, and the period during which the results of the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regulatory submissions, initiation of and enrollment in clinical trials and timing of expected clinical results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conditions treated by our product candidates and to enroll patients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potential indications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receive regulatory approval for,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capital and the sufficiency of our existing cash, cash equivalents and investments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position for our product candidates, and the scope of such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under the heading “Risk Factors” included in this prospectus and our Quarterly Report on Form 10-Q for the quarter ended June 30, 2026, which is incorporated by reference herein. You should evaluate all forward-looking statements made in this prospectus in the context of these risks and uncertainties.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54667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or incorporated by reference elsewhere in this prospectus. This summary is not complete and does not contain all of the information you should consider in making your investment decision. Before investing in our common stock, you should carefully read this entire prospectus, including the information incorporated by reference herein. You should carefully consider, among other things, the section titled “Risk Factors” included elsewhere in this prospectus and the risk factors incorporated by reference herein, the section titled “Management’s Discussion and Analysis of Financial Condition and Results of Operations,” and our consolidated financial statements and the related notes thereto included in our Annual Report on Form 10-K for the year ended December 31, 2025 and our Quarterly Report on Form 10-Q for the quarter ended June 30, 2026, which are incorporated by reference herein. Some of the statements in this summary constitute forward-looking statements; see the section titled “Special Note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improving the lives of patients suffering from debilitating central nervous system, or CNS, disorders. We were founded by globally recognized leaders in psychiatry and neuroscience research to address the lack of circuit-specific pharmacotherapies available for patients. Our discovery platform holds the potential to fill this void by identifying neural circuits causally linked to disease and targeting those circuits for therapeutic modulation. We believe our deep understanding of these causal links between the modulation of defined neural circuits and the resulting changes in disease-specific behaviors will enable us to develop therapeutics that can deliver efficacy, safety, tolerability and ease-of-use advantages to patients and prescribers.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ML-007C-MA, is a fixed-dose combination of an M1/M4 muscarinic agonist, ML-007, co-formulated with a peripherally acting anticholinergic, or PAC, which we are initially developing for the treatment of schizophrenia and Alzheimer’s disease psychosis, or ADP. ML-007C-MA is designed to activate both M1 and M4 muscarinic receptors centrally to drive efficacy, while synchronizing the pharmacokinetics of the agonist and antagonist components to mitigate peripheral cholinergic side effects. ML-007 alone, co-administered or co-formulated with the PAC has been evaluated in four Phase 1 trials, with a total of 270 healthy participants enrolled and more than 1,500 doses of ML-007 administered. Based on our clinical and preclinical data, we believe that ML-007C-MA has demonstrated the potential to be a well-tolerated treatment option with convenient dosing, while achieving or exceeding cerebrospinal fluid, or CSF, exposures expected to result in improvement across key symptom domains. In July 2026, we announced positive topline results from ZEPHYR, a Phase 2 trial evaluating ML-007C-MA for the treatment of schizophrenia. Based on the results of ZEPHYR, we intend to engage with the U.S. Food and Drug Administration, or the FDA, in an end-of-Phase 2 meeting to discuss the path forward for ML-007C-MA in schizophrenia, including the design of a Phase 3 trial which, together with ZEPHYR, would support an initial New Drug Application, or NDA, submission. We have begun planning and site identification for this additional, confirmatory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conducting VISTA, a Phase 2 trial evaluating ML-007C-MA for the treatment of ADP, and we expect to report topline results in the second half of 2027. In December 2025, ML-007C-MA was granted Fast Track designation by the FDA for the treatment of hallucinations and delusions associated with ADP.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clinical-stage product candidate, ML-004, is a 5-HT1B/1D agonist that we are developing for the treatment of social communication deficit and/or irritability in autism spectrum disorder, or ASD. In June 2026, we announced topline results from IRIS, a Phase 2 trial evaluating the efficacy, safety and tolerability of ML-004 in adults and adolescents with ASD. Based on the results of IRIS, we intend to engage with the FDA in an end-of-Phase 2 meeting to determine the next steps for development of ML-004 in irritability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ASD, after which we intend to evaluate the path forward for ML-004, including potential strategic collaborations and/or funding alternatives.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common stock involves significant risks. You should carefully consider the risks described in the section titled “Risk Factors” immediately following this prospectus summary and in the section titled “Risk Factors” included in our Quarterly Report on Form 10-Q for the quarter ended June 30, 2026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with a limited operating history and no history of commercializing products, which may make it difficult to evaluate our approach to the discovery and development of product candidates and the prospects for our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substantial losses since our inception. We anticipate incurring substantial and increasing losses for the foreseeable future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failure to obtain additional capital when needed, or on acceptable terms, could cause us to delay, limit, reduce or terminate our product development or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identify, develop and commercialize any product candidates, or experience significant delays in doing so, our business, financial condition, results of operations and prospects will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authorities are lengthy, time-consuming, expensive and inherently unpredictable, and if we are ultimately unable to obtain regulatory approval for our product candidates,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incur unexpected costs or experience delays in completing, or ultimately be unable to complete, the development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products may reduce or eliminate the commercial opportunity for our product candidates for our current or future indications. If our competitors develop technologies or product candidates more rapidly than we do, or their technologies or product candidates are more effective or safer than ours, our ability to develop and successfully commercialize our product candidates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depends on our ability to retain key executives and to attract, retain and motivate qualified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sufficient intellectual property protection for our current or future product candidates or if the scope of the intellectual property protection we currently have or obtain in the future is not sufficiently broad, our competitors could develop and commercialize product candidates similar or identical to ours, and our ability to successfully commercialize our current or future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cause our stock price to fall.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were incorporated under the laws of the State of Delaware in November 2018 as Alvarado Therapeutics, Inc. In August 2019, we changed our name to MapLight Therapeutics, Inc. Our principal executive offices are located at 800 Chesapeake Drive, Redwood City, California 94063, and our telephone number is (617) 984-6300. Our website address is </w:t>
      </w:r>
      <w:r>
        <w:rPr>
          <w:rFonts w:ascii="Times New Roman" w:hAnsi="Times New Roman"/>
          <w:i/>
          <w:sz w:val="20"/>
          <w:bdr w:val="single" w:sz="8" w:space="1" w:color="000000"/>
        </w:rPr>
        <w:t>www.maplightrx.com</w:t>
      </w:r>
      <w:r>
        <w:rPr>
          <w:rFonts w:ascii="Times New Roman" w:hAnsi="Times New Roman"/>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of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13, 2026, we entered into a securities purchase agreement with certain institutional investors pursuant to which we agreed to sell and issue (i) 9,197,887 shares of common stock, or the Shares, and (ii) with respect to certain purchasers, in lieu of shares of common stock, pre-funded warrants, or the Pre-Funded Warrants, to purchase 3,983,168 shares of common stock, or the Warrant Shares, which is collectively referred to in this prospectus as the Private Placement. The closing of the Private Placement occurred on August 14, 2026. The purchase price per Share was $11.38 and the purchase price for the Pre-Funded Warrants was the purchase price per Share minus $0.0001 per Warrant Share underlying the Pre-Funded Warrants. We received gross proceeds of approximately $150.0 million from the Private Placement, before deducting placement agent fees and estimated offering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Pre-Funded Warrants have a per share exercise price of $0.0001,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that holds less than 20% of our common stock prior to such exercise may increase or decrease the beneficial ownership limitation by giving 61 days’ notice to us, but not to any percentage in excess of 19.99%, or, for Catalyst4, Inc., 49.99%.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Also on August 13, 2026, we entered into a registration rights agreement with the purchasers in the Private Placement, or the Registration Rights Agreement. Under the terms of the Registration Rights Agreement, we agreed to prepare and file, within 30 days after the closing of the Private Placement, one or more registration statements with the SEC to register for resale the Shares and the Warrant Shares issuable upon exercise of the Pre-Funded Warrants sold in the Private Placement, and to cause the applicable registration statements to become effective within a specified period set forth in the Registration Rights Agreement. The registration statement of which this prospectus forms a part is being filed to satisfy the requirements of the Registration Rights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or the Securities Act, as modified by the Jumpstart Our Business Startups Act of 2012, or the JOBS Act, and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closing of our initial public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consolidated financial information to those of other public companies more difficult.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will continue to be a smaller reporting company as long as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MapLight Therapeutics,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an aggregate of 13,181,055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and non-voting common stock outstanding </w:t>
            </w:r>
          </w:p>
        </w:tc>
        <w:tc>
          <w:tcPr>
            <w:tcW w:w="6329" w:type="dxa"/>
            <w:tcBorders/>
          </w:tcPr>
          <w:p>
            <w:pPr>
              <w:pStyle w:val="TableContents"/>
              <w:bidi w:val="0"/>
              <w:spacing w:before="0" w:after="283"/>
              <w:jc w:val="left"/>
              <w:rPr/>
            </w:pPr>
            <w:r>
              <w:rPr/>
              <w:t xml:space="preserve">55,575,719 shares of common stock (of which 2,727,511 shares are non-voting common stock)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read and consider the information set forth in the section titled “Risk Factors,” together with all of the other information set forth in this prospectus or incorporated by reference herein,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trading symbol </w:t>
            </w:r>
          </w:p>
        </w:tc>
        <w:tc>
          <w:tcPr>
            <w:tcW w:w="6327" w:type="dxa"/>
            <w:tcBorders/>
          </w:tcPr>
          <w:p>
            <w:pPr>
              <w:pStyle w:val="TableContents"/>
              <w:bidi w:val="0"/>
              <w:spacing w:before="0" w:after="283"/>
              <w:jc w:val="left"/>
              <w:rPr/>
            </w:pPr>
            <w:r>
              <w:rPr/>
              <w:t>“</w:t>
            </w:r>
            <w:r>
              <w:rPr/>
              <w:t xml:space="preserve">MPLT”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13.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and non-voting common stock outstanding as of September 1, 2026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4,810,101 shares of our common stock issuable upon the exercise of options outstanding as of September 1, 2026 at a weighted-average exercise price of $14.95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3,935,504 shares of our common stock issuable upon the vesting and settlement of restricted stock units, or RSUs, outstanding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2,228,226 shares of common stock reserved for future issuance under our 2025 Equity Incentive Plan, or the 2025 Plan, as of September 1, 2026, as well as any future automatic annual increases in the number of shares of common stock reserved for issuance under our 2025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845,259 shares of common stock reserved for future issuance under our 2025 Employee Stock Purchase Plan, or the ESPP, as of September 1, 2026, as well as any future automatic annual increases in the number of shares of common stock reserved for future issuance under our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35,476 additional shares of our common stock potentially issuable pursuant to the Asset Purchase Agreement with NeuroSolis, Inc., dated as of June 18, 2020, upon our achievement of specified development and regulatory milestones.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contained in this prospectus assumes no exercise of the outstanding options and no vesting of the RSUs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54667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and uncertainties described below, as well as the risks and uncertainties set forth under the heading “Risk Factors” in our Quarterly Report on Form 10-Q for the quarter ended June 30, 2026, which is incorporated by reference herein, and all of the other information contained in this prospectus and the documents incorporated by reference herein before making an investment decision.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in the market that the holders of a large number of shares intend to sell shares, could reduce the market price of our common stock. On August 14, 2026, we issued (i) 9,197,887 shares of common stock and (ii) pre-funded warrants to purchase 3,983,168 shares of common stock in the Private Placement. We have agreed to register for resale with the SEC such shares of common stock. The registration statement of which this prospectus forms a part has been filed to satisfy this obligation. Upon the effectiveness of the registration statement, up to 13,181,055 shares of common stock may be freely sold in the open market pursuant to this prospectus. The balance of our outstanding shares of common stock may be resold into the public market immediately without restriction, unless owned or purchased by our affiliates. The sale of a significant amount of these shares of common stock in the open market, or the perception that these sales may occur, could cause the market price of our common stock to decline or become highly volatile. </w:t>
      </w:r>
    </w:p>
    <w:p>
      <w:pPr>
        <w:pStyle w:val="TextBody"/>
        <w:bidi w:val="0"/>
        <w:spacing w:before="240" w:after="0"/>
        <w:jc w:val="left"/>
        <w:rPr>
          <w:rFonts w:ascii="Times New Roman" w:hAnsi="Times New Roman"/>
          <w:sz w:val="20"/>
        </w:rPr>
      </w:pPr>
      <w:r>
        <w:rPr>
          <w:rFonts w:ascii="Times New Roman" w:hAnsi="Times New Roman"/>
          <w:sz w:val="20"/>
        </w:rPr>
        <w:t xml:space="preserve">All of our outstanding options, RSUs and shares that are otherwise issuable under our equity compensation plans are registered under the Securities Act on registration statements on Form S-8. These shares can be freely sold in the public market upon issuance, subject to volume limitations applicable to affiliates,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54667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546679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stockholders consist of the Shares and the Warrant Shares issuable upon exercise of the Pre-Funded Warrants issued to the selling stockholders in the Private Placement. For additional information regarding the issuance of the Shares and the Pre-Funded Warrants in the Private Placement, see the section “Prospectus Summary—Private Placement of Securities” above. We are registering the resale of the Shares and the Warrant Shares in order to permit such selling stockholders to offer the Shares and Warrant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their ownership of the Shares and Warrant Shares offered hereby. The second column lists the number of shares of common stock beneficially owned by the selling stockholders as of September 1, 2026. The third column lists the shares of common stock being offered by the selling stockholder pursuant to this prospectus. The fourth column assumes the sale of all of the shares of common stock offered by the selling stockholders pursuant to this prospectus. The selling stockholders may sell all, some or none of their shares of common stock in this offering. See “Plan of Distribution”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55,575,719 shares of common stock outstanding as of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position, office or other material relationship with 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4"/>
        <w:gridCol w:w="161"/>
        <w:gridCol w:w="101"/>
        <w:gridCol w:w="1869"/>
        <w:gridCol w:w="60"/>
        <w:gridCol w:w="161"/>
        <w:gridCol w:w="108"/>
        <w:gridCol w:w="1775"/>
        <w:gridCol w:w="60"/>
        <w:gridCol w:w="161"/>
        <w:gridCol w:w="60"/>
        <w:gridCol w:w="1119"/>
        <w:gridCol w:w="60"/>
        <w:gridCol w:w="161"/>
        <w:gridCol w:w="139"/>
        <w:gridCol w:w="1021"/>
        <w:gridCol w:w="68"/>
      </w:tblGrid>
      <w:tr>
        <w:trPr/>
        <w:tc>
          <w:tcPr>
            <w:tcW w:w="230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w:t>
              <w:br/>
              <w:t>This Offering</w:t>
            </w:r>
          </w:p>
        </w:tc>
        <w:tc>
          <w:tcPr>
            <w:tcW w:w="68"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61"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Prior to</w:t>
              <w:br/>
              <w:t>This Offering</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Being Offered in</w:t>
              <w:br/>
              <w:t>This Offering(1)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Shares (%)</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Catalyst4, Inc.(2)</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28,235,375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7,328,686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20,906,689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37.6</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Forbion Growth Opportunities Fund III Coöperatief U.A.(3)</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4,428,328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755,711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3,672,617</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6.6</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Nan Fung Group Holdings Limited(4)</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2,911,774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1,054,481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1,857,293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3.3</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LP(5)</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2,221,245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1,054,482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1,166,763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2.1</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LLC(6)</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1,466,074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878,734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587,340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1.1</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Avego Bioscience Capital, L.P.(7)</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624,703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131,810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492,893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Ltd.(8)</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 LLC(9)</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687,465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659,050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28,415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the calculations of the number of shares being offered pursuant to this prospectus, we have assumed the exercise in full of all of the Pre-Funded Warrants without regard to any beneficial ownership limitations on exercise as described above and as set forth in the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25,306,689 shares of common stock (including 4,400,000 Shares issued in the Private Placement) and (ii) 2,928,686 Warrant Shares issuable upon the exercise of Pre-Funded Warrants held by Catalyst4, Inc. (“Catalyst4”). Robert Brown, Ekemini Riley and Mark Vorsatz are members of the board of directors of Catalyst4 and may be deemed to have shared voting and dispositive power over the shares held by Catalyst4. The principal business address of Catalyst4 and the individuals named in this footnote is 555 Bryant Street, #376, Palo Alto, California 94301. The rights of Catalyst4 to designate directors described below terminated in connection with our initial public offering. In connection with our sale of Series C convertible preferred stock in July 2023, we entered into an amended and restated voting agreement with certain stockholders, including Catalyst4, which granted Catalyst4 the right to designate one member of our board of directors and to jointly designate, with NFLS Beta Limited, one member of our board of directors, pursuant to which Catalyst4 designated George Pavlov and Timothy Garnett to serve on our board of directors. In connection with our sale of additional shares of Series C convertible preferred stock in October 2023, we entered into an amendment to the amended and restated voting agreement, which granted Catalyst4 the right to designate an additional member of our board of directors. In connection with our sale of Series D convertible preferred stock in July 2025, we entered into an amended and restated voting agreement with certain stockholders, including Catalyst4, which granted Catalyst4 the right to designate three members of our board of directors, pursuant to which Catalyst4 designated Timothy Garnett, George Pavlov and Maria Walker to serve on our board of directors. In connection with our sale of additional shares of Series D convertible preferred stock in September 2025, we entered into an amendment to the amended and restated voting agreement, which granted Catalyst4 the right to designate an additional member of our board of directors. In October 2023, we entered into an assignment and assumption agreement with Stellaromics, Inc. (“Stellaromics”) for the transfer of certain intellectual property and received an equity investment in Stellaromics common stock representing 9.8% of the capital stock of Stellaromics; as of June 30, 2026, we held approximately 2.9% of the outstanding capital stock of Stellaromics. Also in October 2023, Catalyst4 became the largest stockholder of Stellaromics, holding approximately 38.4% of its outstanding capital stock; as of June 30, 2026, Catalyst4 holds a controlling interest of the outstanding capital stock of Stellaromics. George Pavlov, a member of our board of directors, and Christopher A. Kroeger, M.D., our Chief Executive Officer, serve as members of the board of directors of Stellaromics. Dr. Kroeger’s seat on the board of directors of Stellaromics is determined by the stockholders holding a majority of the outstanding shares of common stock of Stellaromics.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4,428,328 shares of common stock (including 755,711 Shares issued in the Private Placement) held by Forbion Growth Opportunities Fund III Coöperatief U.A. (“Forbion Growth”). Forbion Growth III Management B.V. (“Forbion Management”), is the director of Forbion Growth and may be deemed to have voting and dispositive power over the securities that are held by Forbion Growth. Investment and divestment decisions with respect to Forbion Growth are made by its alternative investment fund manager FCPM III Services B.V. (“FCPM”) upon recommendation by its investment committee, consisting of Nanna Lüneborg, a member of our board of directors, Sander Slootweg, Dirk Kersten, Wouter Joustra, Jasper Bos, Carlo Incerti, Martien van Osch and Geert-Jan Mulder. The natural persons on the board of FCPM are Dirk Kersten, Machteld Groeneveld, Geert-Jan Mulder, Sander Slootweg and Martien van Osch. FCPM directs the Forbion Management in relation to Forbion Growth. The members of the investment committee have an indirect interest in the Forbion Growth. The principal business address of the Forbion Management, the Forbion Growth, FCPM and the individuals named in this footnote is Gooimeer 2-35, 1411 DC Naarden, the Netherlands. In connection with our sale of Series D convertible preferred stock in July 2025, we entered into an amended and restated voting agreement with certain stockholders, including Forbion Growth, which granted Forbion Growth the right to designate one member of our board of directors, pursuant to which Forbion Growth designated Nanna Lüneborg, Ph.D. to serve on our board of directors. Dr. Lüneborg has served as General Partner at Forbion since September 2021. The rights of Forbion Growth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611,446 shares of common stock held by Pivotal bioVenture Partners Fund II, L.P. (“Pivotal II”), (ii) 671,606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common stock held by NFLS Beta Limited (“NFLS Beta”), and (iii) 1,628,722 shares of common stock (including 1,054,481 Shares issued in the Private Placement) held by Permwell Management Limited (“Permwell”). Pivotal bioVenture Partners Fund II G.P. Ltd (“Pivotal II GP”) is the general partner of Pivotal II, and is wholly owned by Pivotal Partners Ltd (“Pivotal Partners”). Pivotal Partners is wholly owned by Pivotal Life Sciences Holdings Limited (“Pivotal Life Sciences” and together with Pivotal II, Pivotal II GP and Pivotal Partners, the “Pivotal Entities”). Pivotal Life Sciences is wholly owned by Nan Fung Life Sciences Holdings Limited (“Nan Fung Life Sciences”), and Nan Fung Life Sciences is wholly owned by NF Investment Holdings Limited (“NFIHL”), which is wholly owned by Nan Fung Group Holdings Limited (“NFGHL”). NFLS Beta is wholly owned by NFLS Platform Holdings Limited (“NFLS Platform”), which is wholly owned by Nan Fung Life Sciences. Permwell is wholly owned by NFIHL. The address of the principal business office of each of the Pivotal Entities is 501 Second Street, Suite 200, San Francisco, CA 94107. The principal business address of each of NFGHL and Permwell is 17th Floor, AIRSIDE, 2 Concorde Road, Kai Tak, Hong Kong. The registered office address of each of NFIHL, Nan Fung Life Sciences and NFLS Beta is Vistra Corporate Services Centre, Wickhams Cay II, Road Town, Tortola, VG1110, British Virgin Islands. The registered office address of NFLS Platform is Cricket Square, Hutchins Drive, P.O. Box 2681, Grand Cayman, KY1-1111, Cayman Islands. In connection with our sale of Series C convertible preferred stock in July 2023, we entered into an amended and restated voting agreement with certain stockholders, including NFLS Beta, which granted NFLS Beta the right to designate one member of our board of directors and to jointly designate, with Catalyst4, one member of our board of directors, pursuant to which NFLS Beta designated Peter Bisgaard and Timothy Garnett to serve on our board of directors. In connection with our sale of Series D convertible preferred stock in July 2025, we entered into an amended and restated voting agreement with certain stockholders, including NFLS Beta, which granted NFLS Beta the right to designate one member of our board of directors, pursuant to which NFLS Beta designated Peter Bisgaard to serve on our board of directors. Mr. Bisgaard served as a member of our board of directors from February 2019 to September 2025. The rights of NFLS Beta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(i)(a) 1,097,397 shares of common stock and (b) 1,005,774 Warrant Shares issuable upon the exercise of Pre-Funded Warrants held by Baker Brothers Life Sciences, L.P. (“Life Sciences”) and (ii)(a) 69,366 shares of common stock and (b) 48,708 Warrant Shares issuable upon the exercise of Pre-Funded Warrants held by 667, L.P. (“667” and, together with Life Sciences, the “BBA Funds”).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The business address of BBA, GP, Julian C. Baker and Felix J. Baker is 860 Washington Street, 3rd Floor, New York, NY 10014.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373,751 shares of common stock (including 169,051 Shares issued in the Private Placement) held by Broad Street Principal Investments LLC (“Broad Street”), (ii) 535,073 shares of common stock (including 242,017 Shares issued in the Private Placement) held by West Street Life Sciences I, LP (“WSLS I”), (iii) 143,482 shares of common stock (including 64,898 Shares issued in the Private Placement) held by WSLS Emp Offshore Investments, L.P. (“WSLS Emp Offshore”), (iv) 380,366 shares of common stock (including 172,042 Shares issued in the Private Placement) held by WSLS Emp Onshore Investments L.P. (“WSLS Emp Onshore”), and (v) 510,109 shares of common stock (including 230,726 Shares issued in the Private Placement) held by WSLS Offshore Investments, SLP (“WSLS Offshore SLP”). Goldman Sachs Asset Management, L.P. (“GSAM LP”), as the investment manager of WSLS I, WSLS Emp Offshore, WSLS Emp Onshore, and WSLS Offshore SLP, may be deemed to have voting and investment power over the shares held of record by these entities. Goldman Sachs &amp; Co. LLC (“GS&amp;Co”), as the manager of Broad Street, may be deemed to have voting and investment power over the shares held of record by Broad Street. GS&amp;Co and GSAM LP are direct and indirect wholly-owned subsidiaries of The Goldman Sachs Group, Inc. (“GS Group”). GS Group is a public entity, and its common stock is publicly traded on the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Exchange. The shares were acquired in the ordinary course of the holders’ investment business and not for the purpose of resale or distribution. GS&amp;Co, GSAM LP or GS Group may be deemed to beneficially own the securities held by Broad Street, WSLS I, WSLS Emp Offshore, WSLS Emp Onshore, and WSLS Offshore SLP. The address of GS Group, GS&amp;Co, GSAM LP, Broad Street, WSLS I, WSLS Emp Offshore, and WSLS Emp Onshore is 200 West Street, New York, New York 10282. The address of WSLS Offshore SLP is 12E, Rue Guillaume Kroll, 1882 Luxembourg.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624,703 shares of common stock (including 131,810 shares issued in the Private Placement) held by Avego Bioscience Capital, L.P. (“Avego Bioscience”). Avego Bioscience Capital GP, LLC (“Avego Bioscience GP”), as the general partner of Avego Bioscience, may be deemed to beneficially own the shares beneficially owned by Avego Bioscience. Avego Management LLC (“Avego Management”) and Velan Capital Investment Management LP (“Velan Capital”) are co-investment managers of Avego Bioscience and may be deemed to beneficially own the shares beneficially owned by Avego Bioscience. Velan Capital Management LLC (“Velan IM GP”), as the general partner of Velan Capital, may be deemed to beneficially own the shares beneficially owned by Avego Bioscience. Balaji Venkataraman, as a Managing Member of each of Avego Bioscience GP, Avego Management and Velan IM GP, may be deemed to beneficially own the shares beneficially owned by Avego Bioscience. Adam Morgan, as a Managing Member of Velan IM GP, may be deemed to beneficially own the shares beneficially owned by Avego Bioscience. The business address of Avego Bioscience, Avego Bioscience GP, Avego Management, Velan Capital and Velan IM GP is 100 North Main Street, Suite 301, Alpharetta, GA 30009.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1,318,101 Shares issued in the Private Placement held by Deep Track Biotechnology Master Fund, Ltd. (“Deep Track”). Deep Track Capital, LP (“Deep Track Capital”) is the investment manager of Deep Track, and Deep Track Capital GP, LLC (“Deep Track GP”, and together with Deep Track and Deep Track Capital, the “Deep Track Entities”) is the general partner of Deep Track Capital. David Kroin is the managing member of Deep Track GP. The business address of the Deep Track Entities and Mr. Kroin is 200 Greenwich Ave, 3rd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595,808 shares of common stock (including 571,641 Shares issued in the Private Placement) held by ADAR1 Partners, LP (“ADAR1”), (ii) 89,289 shares of common stock (including 87,409 Shares issued in the Private Placement) held by Spearhead Insurance Solutions IDF, LLC – Series ADAR1 (“Spearhead”); and (iii) 2,368 shares of common stock owned directly by separately managed accounts. ADAR1 Capital Management, LLC (“ADAR1 LLC”), the investment advisor of ADAR1 and the sub-advisor of Spearhead and the separately managed accounts, has voting and investment control of the common stock held by ADAR1, Spearhead and the separately managed accounts. ADAR1 Capital Management GP, LLC (“ADAR1 GP”) is the general partner of ADAR1. Daniel Schneeberger is the manager of ADAR1 LLC and ADAR1 GP. The address of ADAR1, ADAR1 LLC and Mr. Schneeberger is 3503 Wild Cherry Drive, Building 9, Austin, TX 78738. The address of Spearhead is 3828 Kennett Pike, Suite 202, Greenville, </w:t>
            </w:r>
          </w:p>
        </w:tc>
      </w:tr>
    </w:tbl>
    <w:p>
      <w:pPr>
        <w:pStyle w:val="TextBody"/>
        <w:bidi w:val="0"/>
        <w:spacing w:before="0" w:after="0"/>
        <w:jc w:val="left"/>
        <w:rPr>
          <w:rFonts w:ascii="Times New Roman" w:hAnsi="Times New Roman"/>
          <w:sz w:val="20"/>
        </w:rPr>
      </w:pPr>
      <w:r>
        <w:rPr>
          <w:rFonts w:ascii="Times New Roman" w:hAnsi="Times New Roman"/>
          <w:sz w:val="20"/>
        </w:rPr>
        <w:t xml:space="preserve">DE 19807.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546679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that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pledgees, transferees or other successors-in-interest as selling stockholders under this prospectus. The selling stockholders also may transfer the shares of common stock in other circumstances, in which case the donees, transferees, pledgees or other successors-in-interest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546679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will be passed upon for us by Cooley LLP, Reston, Virginia. As of the date of this prospectus, GC&amp;H Investments, LLC, an entity comprising partners and associates of Cooley LLP, beneficially owns 4,382 shares of our common stock. </w:t>
      </w:r>
    </w:p>
    <w:p>
      <w:pPr>
        <w:pStyle w:val="TextBody"/>
        <w:bidi w:val="0"/>
        <w:spacing w:before="480" w:after="0"/>
        <w:jc w:val="center"/>
        <w:rPr>
          <w:rFonts w:ascii="Times New Roman" w:hAnsi="Times New Roman"/>
          <w:b/>
          <w:sz w:val="20"/>
        </w:rPr>
      </w:pPr>
      <w:bookmarkStart w:id="11" w:name="tx546679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MapLight Therapeutics, Inc. and its subsidiary as of December 31, 2025 and 2024 and for the years then ended incorporated in this prospectus by reference from the MapLight Therapeutics, Inc. Annual Report on Form 10-K for the year ended December 31, 2025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2" w:name="tx546679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and current reporting requirements of the Exchange Act and we, in accordance therewith, file reports, proxy statements, and other information with the SEC. These reports, proxy statements, and other information are available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www.maplightrx.com</w:t>
      </w:r>
      <w:r>
        <w:rPr>
          <w:rFonts w:ascii="Times New Roman" w:hAnsi="Times New Roman"/>
          <w:sz w:val="20"/>
        </w:rPr>
        <w:t xml:space="preserve">, at which you may access these materials free of charge as soon as reasonably practicable after they are electronically filed with, or furnished to, the SEC. The information contained in, or that can be accessed through, our website is not incorporated by reference in, and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546679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Information in this prospectus supersedes information incorporated by reference that we filed with the SEC prior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the registration statement of which this prospectus is a part the information or documents listed below that we have filed with the SEC (File No. 001-42914):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3">
              <w:r>
                <w:rPr>
                  <w:rStyle w:val="InternetLink"/>
                  <w:rFonts w:ascii="Times New Roman" w:hAnsi="Times New Roman"/>
                  <w:sz w:val="20"/>
                </w:rPr>
                <w:t>March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Schedule  14A filed with the SEC on </w:t>
            </w:r>
            <w:hyperlink r:id="rId4">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14, 2026</w:t>
              </w:r>
            </w:hyperlink>
            <w:r>
              <w:rPr>
                <w:rFonts w:ascii="Times New Roman" w:hAnsi="Times New Roman"/>
                <w:sz w:val="20"/>
              </w:rPr>
              <w:t xml:space="preserve"> and </w:t>
            </w:r>
            <w:hyperlink r:id="rId6">
              <w:r>
                <w:rPr>
                  <w:rStyle w:val="InternetLink"/>
                  <w:rFonts w:ascii="Times New Roman" w:hAnsi="Times New Roman"/>
                  <w:sz w:val="20"/>
                </w:rPr>
                <w:t>August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April  29, 2026</w:t>
              </w:r>
            </w:hyperlink>
            <w:r>
              <w:rPr>
                <w:rFonts w:ascii="Times New Roman" w:hAnsi="Times New Roman"/>
                <w:sz w:val="20"/>
              </w:rPr>
              <w:t xml:space="preserve">, </w:t>
            </w:r>
            <w:hyperlink r:id="rId8">
              <w:r>
                <w:rPr>
                  <w:rStyle w:val="InternetLink"/>
                  <w:rFonts w:ascii="Times New Roman" w:hAnsi="Times New Roman"/>
                  <w:sz w:val="20"/>
                </w:rPr>
                <w:t>June  18, 2026</w:t>
              </w:r>
            </w:hyperlink>
            <w:r>
              <w:rPr>
                <w:rFonts w:ascii="Times New Roman" w:hAnsi="Times New Roman"/>
                <w:sz w:val="20"/>
              </w:rPr>
              <w:t xml:space="preserve">, </w:t>
            </w:r>
            <w:hyperlink r:id="rId9">
              <w:r>
                <w:rPr>
                  <w:rStyle w:val="InternetLink"/>
                  <w:rFonts w:ascii="Times New Roman" w:hAnsi="Times New Roman"/>
                  <w:sz w:val="20"/>
                </w:rPr>
                <w:t>June  22, 2026</w:t>
              </w:r>
            </w:hyperlink>
            <w:r>
              <w:rPr>
                <w:rFonts w:ascii="Times New Roman" w:hAnsi="Times New Roman"/>
                <w:sz w:val="20"/>
              </w:rPr>
              <w:t xml:space="preserve">, </w:t>
            </w:r>
            <w:hyperlink r:id="rId10">
              <w:r>
                <w:rPr>
                  <w:rStyle w:val="InternetLink"/>
                  <w:rFonts w:ascii="Times New Roman" w:hAnsi="Times New Roman"/>
                  <w:sz w:val="20"/>
                </w:rPr>
                <w:t>June  24, 2026</w:t>
              </w:r>
            </w:hyperlink>
            <w:r>
              <w:rPr>
                <w:rFonts w:ascii="Times New Roman" w:hAnsi="Times New Roman"/>
                <w:sz w:val="20"/>
              </w:rPr>
              <w:t xml:space="preserve">, </w:t>
            </w:r>
            <w:hyperlink r:id="rId11">
              <w:r>
                <w:rPr>
                  <w:rStyle w:val="InternetLink"/>
                  <w:rFonts w:ascii="Times New Roman" w:hAnsi="Times New Roman"/>
                  <w:sz w:val="20"/>
                </w:rPr>
                <w:t>July  27, 2026</w:t>
              </w:r>
            </w:hyperlink>
            <w:r>
              <w:rPr>
                <w:rFonts w:ascii="Times New Roman" w:hAnsi="Times New Roman"/>
                <w:sz w:val="20"/>
              </w:rPr>
              <w:t xml:space="preserve"> and </w:t>
            </w:r>
            <w:hyperlink r:id="rId12">
              <w:r>
                <w:rPr>
                  <w:rStyle w:val="InternetLink"/>
                  <w:rFonts w:ascii="Times New Roman" w:hAnsi="Times New Roman"/>
                  <w:sz w:val="20"/>
                </w:rPr>
                <w:t>August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October 24, 2025, as updated by </w:t>
            </w:r>
            <w:hyperlink r:id="rId14">
              <w:r>
                <w:rPr>
                  <w:rStyle w:val="InternetLink"/>
                  <w:rFonts w:ascii="Times New Roman" w:hAnsi="Times New Roman"/>
                  <w:sz w:val="20"/>
                </w:rPr>
                <w:t>Exhibit 4.2</w:t>
              </w:r>
            </w:hyperlink>
            <w:r>
              <w:rPr>
                <w:rFonts w:ascii="Times New Roman" w:hAnsi="Times New Roman"/>
                <w:sz w:val="20"/>
              </w:rPr>
              <w:t xml:space="preserve"> of our Annual Report on Form 10-K for the year ended December 31, 2025, filed with the SEC on March 26,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subsequently filed by us pursuant to Sections 13(a), 13(c), 14 or 15(d) of the Exchange Act prior to the termination of the offering (excluding any information furnished rather than filed)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the documents incorporated by reference in this prospectus, including exhibits to these documents. You should direct any requests for documents to MapLight Therapeutics, Inc., Attn: Corporate Secretary, 800 Chesapeake Drive, Redwood City, California 94063, telephone (617) 984-6300. You also may access these filings on our website at </w:t>
      </w:r>
      <w:r>
        <w:rPr>
          <w:rFonts w:ascii="Times New Roman" w:hAnsi="Times New Roman"/>
          <w:i/>
          <w:sz w:val="20"/>
        </w:rPr>
        <w:t>www.maplightrx.com</w:t>
      </w:r>
      <w:r>
        <w:rPr>
          <w:rFonts w:ascii="Times New Roman" w:hAnsi="Times New Roman"/>
          <w:sz w:val="20"/>
        </w:rPr>
        <w:t xml:space="preserve">.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3735" cy="3530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MapLight Therapeutics, Inc. </w:t>
      </w:r>
    </w:p>
    <w:p>
      <w:pPr>
        <w:pStyle w:val="TextBody"/>
        <w:bidi w:val="0"/>
        <w:spacing w:before="0" w:after="0"/>
        <w:jc w:val="left"/>
        <w:rPr/>
      </w:pPr>
      <w:r>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September 23,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70069/000119312526125072/mplt-20251231.htm" TargetMode="External"/><Relationship Id="rId4" Type="http://schemas.openxmlformats.org/officeDocument/2006/relationships/hyperlink" Target="http://www.sec.gov/Archives/edgar/data/../../../ix?doc=/Archives/edgar/data/1770069/000119312526191449/d121249ddef14a.htm" TargetMode="External"/><Relationship Id="rId5" Type="http://schemas.openxmlformats.org/officeDocument/2006/relationships/hyperlink" Target="http://www.sec.gov/Archives/edgar/data/../../../ix?doc=/Archives/edgar/data/1770069/000119312526224129/mplt-20260331.htm" TargetMode="External"/><Relationship Id="rId6" Type="http://schemas.openxmlformats.org/officeDocument/2006/relationships/hyperlink" Target="http://www.sec.gov/Archives/edgar/data/../../../ix?doc=/Archives/edgar/data/1770069/000119312526349554/mplt-20260630.htm" TargetMode="External"/><Relationship Id="rId7" Type="http://schemas.openxmlformats.org/officeDocument/2006/relationships/hyperlink" Target="http://www.sec.gov/Archives/edgar/data/../../../ix?doc=/Archives/edgar/data/1770069/000119312526191566/d114505d8k.htm" TargetMode="External"/><Relationship Id="rId8" Type="http://schemas.openxmlformats.org/officeDocument/2006/relationships/hyperlink" Target="http://www.sec.gov/Archives/edgar/data/../../../ix?doc=/Archives/edgar/data/1770069/000119312526276065/d227825d8k.htm" TargetMode="External"/><Relationship Id="rId9" Type="http://schemas.openxmlformats.org/officeDocument/2006/relationships/hyperlink" Target="http://www.sec.gov/Archives/edgar/data/../../../ix?doc=/Archives/edgar/data/1770069/000119312526276691/d31456d8k.htm" TargetMode="External"/><Relationship Id="rId10" Type="http://schemas.openxmlformats.org/officeDocument/2006/relationships/hyperlink" Target="http://www.sec.gov/Archives/edgar/data/../../../ix?doc=/Archives/edgar/data/1770069/000119312526280243/d119921d8k.htm" TargetMode="External"/><Relationship Id="rId11" Type="http://schemas.openxmlformats.org/officeDocument/2006/relationships/hyperlink" Target="http://www.sec.gov/Archives/edgar/data/../../../ix?doc=/Archives/edgar/data/1770069/000119312526316820/d139086d8k.htm" TargetMode="External"/><Relationship Id="rId12" Type="http://schemas.openxmlformats.org/officeDocument/2006/relationships/hyperlink" Target="http://www.sec.gov/Archives/edgar/data/../../../ix?doc=/Archives/edgar/data/1770069/000119312526349490/d48818d8k.htm" TargetMode="External"/><Relationship Id="rId13" Type="http://schemas.openxmlformats.org/officeDocument/2006/relationships/hyperlink" Target="http://www.sec.gov/Archives/edgar/data/1770069/000119312525249941/d48773d8a12b.htm" TargetMode="External"/><Relationship Id="rId14" Type="http://schemas.openxmlformats.org/officeDocument/2006/relationships/hyperlink" Target="http://www.sec.gov/Archives/edgar/data/1770069/000119312526125072/mplt-ex4_2.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10671</Words>
  <Characters>57631</Characters>
  <CharactersWithSpaces>68569</CharactersWithSpaces>
  <Paragraphs>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