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09,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MapLight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001-42914</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83-2163243</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800 Chesapeake Drive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9"/>
              </w:rPr>
              <w:t>Redwood City, California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94063</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617 984-6300</w:t>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85"/>
        </w:trPr>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Voting Common Stock, $0.0001 par value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MPLT</w:t>
            </w: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Nasdaq Global Select Market</w:t>
            </w:r>
          </w:p>
        </w:tc>
      </w:tr>
    </w:tbl>
    <w:p>
      <w:pPr>
        <w:spacing w:after="0" w:line="168"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96" w:lineRule="exact"/>
        <w:rPr>
          <w:sz w:val="20"/>
          <w:szCs w:val="20"/>
          <w:color w:val="auto"/>
        </w:rPr>
      </w:pPr>
    </w:p>
    <w:p>
      <w:pPr>
        <w:ind w:right="360" w:firstLine="615"/>
        <w:spacing w:after="0" w:line="310" w:lineRule="auto"/>
        <w:rPr>
          <w:sz w:val="20"/>
          <w:szCs w:val="20"/>
          <w:color w:val="auto"/>
        </w:rPr>
      </w:pPr>
      <w:r>
        <w:rPr>
          <w:rFonts w:ascii="Times New Roman" w:cs="Times New Roman" w:eastAsia="Times New Roman" w:hAnsi="Times New Roman"/>
          <w:sz w:val="15"/>
          <w:szCs w:val="15"/>
          <w:color w:val="auto"/>
        </w:rPr>
        <w:t>On January 9, 2026, MapLight Therapeutics, Inc. (the "Company") released the Presentation (as defined below), which includes the following selected preliminary financial information for the fiscal year ended December 31, 2025: As of December 31, 2025, the Company's cash and cash equivalents were approximately $450 million.</w:t>
      </w:r>
    </w:p>
    <w:p>
      <w:pPr>
        <w:spacing w:after="0" w:line="122" w:lineRule="exact"/>
        <w:rPr>
          <w:sz w:val="20"/>
          <w:szCs w:val="20"/>
          <w:color w:val="auto"/>
        </w:rPr>
      </w:pPr>
    </w:p>
    <w:p>
      <w:pPr>
        <w:ind w:right="80" w:firstLine="615"/>
        <w:spacing w:after="0" w:line="251" w:lineRule="auto"/>
        <w:rPr>
          <w:sz w:val="20"/>
          <w:szCs w:val="20"/>
          <w:color w:val="auto"/>
        </w:rPr>
      </w:pPr>
      <w:r>
        <w:rPr>
          <w:rFonts w:ascii="Times New Roman" w:cs="Times New Roman" w:eastAsia="Times New Roman" w:hAnsi="Times New Roman"/>
          <w:sz w:val="16"/>
          <w:szCs w:val="16"/>
          <w:color w:val="auto"/>
        </w:rPr>
        <w:t>The cash and cash equivalents information above and in the Presentation is preliminary, has not been audited and is subject to change upon completion of the Company's financial closing procedures and the preparation of the Company's audited financial statements for the year ended December 31, 2025. Accordingly, the unaudited preliminary cash and cash equivalents balance set forth above reflects the Company's preliminary estimate with respect to such information, based on information currently available to management, and may vary from its actual financial position as of December 31, 2025. This preliminary estimate is not a comprehensive statement or estimate of the Company's financial results or financial condition as of December 31, 2025. Additional information and disclosures would be required for a more complete understanding of the Company's financial position and results of operations as of December 31, 2025. The Company's independent registered public accounting firm has not conducted an audit or review of, and does not express an opinion or any other form of assurance with respect to, this preliminary estimate. A copy of the Presentation is furnished as Exhibit 99.1 hereto.</w:t>
      </w:r>
    </w:p>
    <w:p>
      <w:pPr>
        <w:spacing w:after="0" w:line="164" w:lineRule="exact"/>
        <w:rPr>
          <w:sz w:val="20"/>
          <w:szCs w:val="20"/>
          <w:color w:val="auto"/>
        </w:rPr>
      </w:pPr>
    </w:p>
    <w:p>
      <w:pPr>
        <w:ind w:right="80" w:firstLine="615"/>
        <w:spacing w:after="0" w:line="256" w:lineRule="auto"/>
        <w:rPr>
          <w:sz w:val="20"/>
          <w:szCs w:val="20"/>
          <w:color w:val="auto"/>
        </w:rPr>
      </w:pPr>
      <w:r>
        <w:rPr>
          <w:rFonts w:ascii="Times New Roman" w:cs="Times New Roman" w:eastAsia="Times New Roman" w:hAnsi="Times New Roman"/>
          <w:sz w:val="16"/>
          <w:szCs w:val="16"/>
          <w:color w:val="auto"/>
        </w:rPr>
        <w:t>In accordance with General Instruction B.2. of Form 8-K, the information in this Item 2.02, including Exhibit 99.1 hereto, shall not be deemed "filed" for purposes of Section 18 of the Securities Exchange Act of 1934, as amended (the "Exchange Act"), or otherwise subject to the liability of that section, nor shall it be deemed incorporated by reference in any of the Company's filings under the Securities Act of 1933, as amended (the "Securities Act"), or the Exchange Act, whether made before or after the date hereof, regardless of any incorporation language in such a filing, except as expressly set forth by specific reference in such a filing.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ind w:right="80" w:firstLine="615"/>
        <w:spacing w:after="0" w:line="261" w:lineRule="auto"/>
        <w:rPr>
          <w:sz w:val="20"/>
          <w:szCs w:val="20"/>
          <w:color w:val="auto"/>
        </w:rPr>
      </w:pPr>
      <w:r>
        <w:rPr>
          <w:rFonts w:ascii="Times New Roman" w:cs="Times New Roman" w:eastAsia="Times New Roman" w:hAnsi="Times New Roman"/>
          <w:sz w:val="16"/>
          <w:szCs w:val="16"/>
          <w:color w:val="auto"/>
        </w:rPr>
        <w:t>On January 9, 2026, the Company issued a press release announcing an update to its timing expectations for the disclosure of topline results from its ongoing Phase 2 ZEPHYR and IRIS clinical trials, which are now expected in the third quarter of 2026. A copy of this press release is furnished as Exhibit 99.2 to this Current Report on Form 8-K.</w:t>
      </w:r>
    </w:p>
    <w:p>
      <w:pPr>
        <w:spacing w:after="0" w:line="157" w:lineRule="exact"/>
        <w:rPr>
          <w:sz w:val="20"/>
          <w:szCs w:val="20"/>
          <w:color w:val="auto"/>
        </w:rPr>
      </w:pPr>
    </w:p>
    <w:p>
      <w:pPr>
        <w:ind w:right="300" w:firstLine="615"/>
        <w:spacing w:after="0" w:line="276" w:lineRule="auto"/>
        <w:rPr>
          <w:sz w:val="20"/>
          <w:szCs w:val="20"/>
          <w:color w:val="auto"/>
        </w:rPr>
      </w:pPr>
      <w:r>
        <w:rPr>
          <w:rFonts w:ascii="Times New Roman" w:cs="Times New Roman" w:eastAsia="Times New Roman" w:hAnsi="Times New Roman"/>
          <w:sz w:val="16"/>
          <w:szCs w:val="16"/>
          <w:color w:val="auto"/>
        </w:rPr>
        <w:t>On January 9, 2026, the Company updated its corporate presentation for use in meetings with investors, analysts and others (the "Presentation"). The Presentation is available on the Company's website and a copy is furnished as Exhibit 99.1 to this Current Report on Form 8-K.</w:t>
      </w:r>
    </w:p>
    <w:p>
      <w:pPr>
        <w:spacing w:after="0" w:line="145" w:lineRule="exact"/>
        <w:rPr>
          <w:sz w:val="20"/>
          <w:szCs w:val="20"/>
          <w:color w:val="auto"/>
        </w:rPr>
      </w:pPr>
    </w:p>
    <w:p>
      <w:pPr>
        <w:ind w:right="120" w:firstLine="615"/>
        <w:spacing w:after="0" w:line="256" w:lineRule="auto"/>
        <w:rPr>
          <w:sz w:val="20"/>
          <w:szCs w:val="20"/>
          <w:color w:val="auto"/>
        </w:rPr>
      </w:pPr>
      <w:r>
        <w:rPr>
          <w:rFonts w:ascii="Times New Roman" w:cs="Times New Roman" w:eastAsia="Times New Roman" w:hAnsi="Times New Roman"/>
          <w:sz w:val="16"/>
          <w:szCs w:val="16"/>
          <w:color w:val="auto"/>
        </w:rPr>
        <w:t>In accordance with General Instruction B.2. of Form 8-K, the information in this Item 7.01, including Exhibit 99.1 and Exhibit 99.2 hereto, shall not be deemed "filed" for purposes of Section 18 of the Exchange Act or otherwise subject to the liability of that section, nor shall it be deemed incorporated by reference in any of the Company's filings under the Securities Act or the Exchange Act, whether made before or after the date hereof, regardless of any incorporation language in such a filing, except as expressly set forth by specific reference in such a filing.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80" w:type="dxa"/>
            <w:vAlign w:val="bottom"/>
            <w:vMerge w:val="restart"/>
          </w:tcPr>
          <w:p>
            <w:pPr>
              <w:ind w:left="18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28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280" w:type="dxa"/>
            <w:vAlign w:val="bottom"/>
          </w:tcPr>
          <w:p>
            <w:pPr>
              <w:spacing w:after="0"/>
              <w:rPr>
                <w:sz w:val="12"/>
                <w:szCs w:val="12"/>
                <w:color w:val="auto"/>
              </w:rPr>
            </w:pPr>
          </w:p>
        </w:tc>
        <w:tc>
          <w:tcPr>
            <w:tcW w:w="10160" w:type="dxa"/>
            <w:vAlign w:val="bottom"/>
            <w:gridSpan w:val="3"/>
          </w:tcPr>
          <w:p>
            <w:pPr>
              <w:spacing w:after="0" w:line="145" w:lineRule="exact"/>
              <w:rPr>
                <w:sz w:val="20"/>
                <w:szCs w:val="20"/>
                <w:color w:val="auto"/>
              </w:rPr>
            </w:pPr>
            <w:r>
              <w:rPr>
                <w:rFonts w:ascii="Times New Roman" w:cs="Times New Roman" w:eastAsia="Times New Roman" w:hAnsi="Times New Roman"/>
                <w:sz w:val="16"/>
                <w:szCs w:val="16"/>
                <w:color w:val="0000FF"/>
              </w:rPr>
              <w:t>Corporate Presentation, dated January 9, 2026</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280" w:type="dxa"/>
            <w:vAlign w:val="bottom"/>
          </w:tcPr>
          <w:p>
            <w:pPr>
              <w:spacing w:after="0"/>
              <w:rPr>
                <w:sz w:val="14"/>
                <w:szCs w:val="14"/>
                <w:color w:val="auto"/>
              </w:rPr>
            </w:pPr>
          </w:p>
        </w:tc>
        <w:tc>
          <w:tcPr>
            <w:tcW w:w="1016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Press Release, dated January 9, 2026</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280" w:type="dxa"/>
            <w:vAlign w:val="bottom"/>
          </w:tcPr>
          <w:p>
            <w:pPr>
              <w:spacing w:after="0"/>
              <w:rPr>
                <w:sz w:val="17"/>
                <w:szCs w:val="17"/>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c>
          <w:tcPr>
            <w:tcW w:w="0" w:type="dxa"/>
            <w:vAlign w:val="bottom"/>
          </w:tcPr>
          <w:p>
            <w:pPr>
              <w:spacing w:after="0"/>
              <w:rPr>
                <w:sz w:val="1"/>
                <w:szCs w:val="1"/>
                <w:color w:val="auto"/>
              </w:rPr>
            </w:pPr>
          </w:p>
        </w:tc>
      </w:tr>
      <w:tr>
        <w:trPr>
          <w:trHeight w:val="1233"/>
        </w:trPr>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MapLight Therapeutics, Inc.</w:t>
      </w:r>
    </w:p>
    <w:p>
      <w:pPr>
        <w:spacing w:after="0" w:line="32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January 9,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Christopher Kroeger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Christopher A. Kroeger, M.D.</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ind w:left="1036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134" w:lineRule="exact"/>
        <w:rPr>
          <w:sz w:val="20"/>
          <w:szCs w:val="20"/>
          <w:color w:val="auto"/>
        </w:rPr>
      </w:pPr>
    </w:p>
    <w:p>
      <w:pPr>
        <w:ind w:right="360"/>
        <w:spacing w:after="0" w:line="298" w:lineRule="auto"/>
        <w:rPr>
          <w:sz w:val="20"/>
          <w:szCs w:val="20"/>
          <w:color w:val="auto"/>
        </w:rPr>
      </w:pPr>
      <w:r>
        <w:rPr>
          <w:rFonts w:ascii="Arial" w:cs="Arial" w:eastAsia="Arial" w:hAnsi="Arial"/>
          <w:sz w:val="28"/>
          <w:szCs w:val="28"/>
          <w:b w:val="1"/>
          <w:bCs w:val="1"/>
          <w:color w:val="6E9FB7"/>
        </w:rPr>
        <w:t>MapLight Therapeutics Updates Expected Timing of Topline Results for Ongoing Phase 2 Studies to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4686300" cy="450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86300" cy="45085"/>
                    </a:xfrm>
                    <a:prstGeom prst="rect">
                      <a:avLst/>
                    </a:prstGeom>
                    <a:noFill/>
                  </pic:spPr>
                </pic:pic>
              </a:graphicData>
            </a:graphic>
          </wp:anchor>
        </w:drawing>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b w:val="1"/>
          <w:bCs w:val="1"/>
          <w:color w:val="auto"/>
        </w:rPr>
        <w:t xml:space="preserve">SAN FRANCISCO and BOSTON, Jan. 9, 2026 (GLOBE NEWSWIRE) -- </w:t>
      </w:r>
      <w:r>
        <w:rPr>
          <w:rFonts w:ascii="Arial" w:cs="Arial" w:eastAsia="Arial" w:hAnsi="Arial"/>
          <w:sz w:val="16"/>
          <w:szCs w:val="16"/>
          <w:color w:val="auto"/>
        </w:rPr>
        <w:t>MapLight Therapeutics, Inc. (MapLight) (Nasdaq: MPLT) today announced an update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expected timing of topline results for its ongoing Phase 2 ZEPHYR and IRIS clinical studies, which are progressing ahead of schedule.</w:t>
      </w:r>
    </w:p>
    <w:p>
      <w:pPr>
        <w:spacing w:after="0" w:line="84"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The company’s Phase 2 ZEPHYR trial evaluating ML-007C-MA for the treatment of schizophrenia continues to enroll robustly, and topline results are now expected in the third quarter of 2026. The ZEPHYR study is a randomized, double-blind, placebo-controlled trial that is expected to enroll 300 hospitalized adult participants with schizophrenia experiencing acute exacerbation of psychosis.</w:t>
      </w:r>
    </w:p>
    <w:p>
      <w:pPr>
        <w:spacing w:after="0" w:line="85"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“The accelerated enrollment pace in the ZEPHYR trial allows us to narrow our timing guidance to the third quarter of 2026,” said Chris Kroeger, co-Founder and Chief Executive Officer of MapLight. “This momentum is testimony to our disciplined execution and commitment to advancing our programs efficiently while maintaining the highest quality standards.”</w:t>
      </w:r>
    </w:p>
    <w:p>
      <w:pPr>
        <w:spacing w:after="0" w:line="97" w:lineRule="exact"/>
        <w:rPr>
          <w:sz w:val="20"/>
          <w:szCs w:val="20"/>
          <w:color w:val="auto"/>
        </w:rPr>
      </w:pPr>
    </w:p>
    <w:p>
      <w:pPr>
        <w:ind w:right="120"/>
        <w:spacing w:after="0" w:line="294" w:lineRule="auto"/>
        <w:rPr>
          <w:sz w:val="20"/>
          <w:szCs w:val="20"/>
          <w:color w:val="auto"/>
        </w:rPr>
      </w:pPr>
      <w:r>
        <w:rPr>
          <w:rFonts w:ascii="Arial" w:cs="Arial" w:eastAsia="Arial" w:hAnsi="Arial"/>
          <w:sz w:val="15"/>
          <w:szCs w:val="15"/>
          <w:color w:val="auto"/>
        </w:rPr>
        <w:t>In addition, following completion of enrollment in the Phase 2 IRIS trial for ML-004 in autism spectrum disorder, topline results for that study are now expected in the third quarter of 2026. The IRIS study is a double-blind, placebo-controlled trial that randomized approximately 160 adult and adolescent participants.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MapLight Therapeutics</w:t>
      </w:r>
    </w:p>
    <w:p>
      <w:pPr>
        <w:spacing w:after="0" w:line="12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MapLight Therapeutics is a clinical-stage biopharmaceutical company focused on improving the lives of patients suffering from debilitating central nervous system disorders. The company was founded by globally recognized leaders in psychiatry and neuroscience research to address the lack of circuit-specific pharmacotherapies available for patients. The company’s discovery platform holds the potential to fill this void by identifying neural circuits causally linked to disease and targeting those circuits for therapeutic modulation.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please visit www.maplightrx.com.</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126" w:lineRule="exact"/>
        <w:rPr>
          <w:sz w:val="20"/>
          <w:szCs w:val="20"/>
          <w:color w:val="auto"/>
        </w:rPr>
      </w:pPr>
    </w:p>
    <w:p>
      <w:pPr>
        <w:ind w:right="240"/>
        <w:spacing w:after="0" w:line="241" w:lineRule="auto"/>
        <w:rPr>
          <w:sz w:val="20"/>
          <w:szCs w:val="20"/>
          <w:color w:val="auto"/>
        </w:rPr>
      </w:pPr>
      <w:r>
        <w:rPr>
          <w:rFonts w:ascii="Arial" w:cs="Arial" w:eastAsia="Arial" w:hAnsi="Arial"/>
          <w:sz w:val="16"/>
          <w:szCs w:val="16"/>
          <w:color w:val="auto"/>
        </w:rPr>
        <w:t>Certain statements in this press release may constitute “forward-looking statements” within the meaning of the federal securities laws, including the company’s expectations regarding the potential benefits of its current and future product candidates and programs, plans for its current and future clinical trials, the anticipated timing of results from the company’s Phase 2 ZEPHYR and IRIS clinical trials and enrollment in the ZEPHYR trial. Words such as “may,” “might,” “will,” “objective,” “intend,” “should,” “could,”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879475</wp:posOffset>
            </wp:positionV>
            <wp:extent cx="7174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38" w:name="page39"/>
    <w:bookmarkEnd w:id="38"/>
    <w:p>
      <w:pPr>
        <w:spacing w:after="0" w:line="10"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“would,” “expect,” “believe,” “design,” “estimate,” “predict,” “potential,” “develop,” “plan” or the negative of these terms, and similar expressions, are intended to identify forward-looking statements. While the company believes these forward-looking statements are reasonable, undue reliance should not be placed on any such forward-looking statements, which are based on information available to the company on the date of this release. These forward-looking statements are based upon current estimates and assumptions and are subject to various risks and uncertainties (including, without limitation, those set forth in the company’s filings with the U.S. Securities and Exchange Commission (SEC)), many of which are beyond the company’s control and subject to change. Actual results could be materially different. Risks and uncertainties include: global macroeconomic conditions and related volatility; expectations regarding the initiation, progress, and expected results of the company’s preclinical studies, clinical trials and research and development programs; the unpredictable relationship between preclinical study results and clinical study results; the risk that results obtained in any clinical trials to date may not be indicative of results obtained in ongoing or future trials; the timing or likelihood of regulatory filings and approvals; expectations regarding the company’s ability to fund its current operations; and other risks and uncertainties identified in the company’s Quarterly Report on Form 10-Q filed with the SEC on December 4, 2025, and subsequent disclosure documents the company may file with the SEC. The company claims the protection of the safe harbor contained in the Private Securities Litigation Reform Act of 1995 for forward-looking statements. The company expressly disclaims any obligation to update or alter any statements whether as a result of new information, future events or otherwise, except as required by law.</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For investor inquiries: </w:t>
      </w:r>
      <w:r>
        <w:rPr>
          <w:rFonts w:ascii="Arial" w:cs="Arial" w:eastAsia="Arial" w:hAnsi="Arial"/>
          <w:sz w:val="16"/>
          <w:szCs w:val="16"/>
          <w:color w:val="auto"/>
        </w:rPr>
        <w:t>investors@maplightrx.com</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For media inquiries: </w:t>
      </w:r>
      <w:r>
        <w:rPr>
          <w:rFonts w:ascii="Arial" w:cs="Arial" w:eastAsia="Arial" w:hAnsi="Arial"/>
          <w:sz w:val="16"/>
          <w:szCs w:val="16"/>
          <w:color w:val="auto"/>
        </w:rPr>
        <w:t>media@maplightrx.com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1060450</wp:posOffset>
            </wp:positionV>
            <wp:extent cx="7174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2026-01-09T06:11:03Z</dcterms:created>
  <dcterms:modified xsi:type="dcterms:W3CDTF">2026-01-09T06:11:03Z</dcterms:modified>
</cp:coreProperties>
</file>