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46679ds1.htm"/>
        <w:bookmarkStart w:id="1" w:name="ksd546679ds1"/>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9,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MapLight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83-2163243</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800 Chesapeake Drive </w:t>
      </w:r>
    </w:p>
    <w:p>
      <w:pPr>
        <w:pStyle w:val="TextBody"/>
        <w:bidi w:val="0"/>
        <w:spacing w:before="0" w:after="0"/>
        <w:jc w:val="center"/>
        <w:rPr>
          <w:rFonts w:ascii="Times New Roman" w:hAnsi="Times New Roman"/>
          <w:b/>
          <w:sz w:val="16"/>
        </w:rPr>
      </w:pPr>
      <w:r>
        <w:rPr>
          <w:rFonts w:ascii="Times New Roman" w:hAnsi="Times New Roman"/>
          <w:b/>
          <w:sz w:val="16"/>
        </w:rPr>
        <w:t xml:space="preserve">Redwood City, California 94063 </w:t>
      </w:r>
    </w:p>
    <w:p>
      <w:pPr>
        <w:pStyle w:val="TextBody"/>
        <w:bidi w:val="0"/>
        <w:spacing w:before="0" w:after="0"/>
        <w:jc w:val="center"/>
        <w:rPr>
          <w:rFonts w:ascii="Times New Roman" w:hAnsi="Times New Roman"/>
          <w:b/>
          <w:sz w:val="16"/>
        </w:rPr>
      </w:pPr>
      <w:r>
        <w:rPr>
          <w:rFonts w:ascii="Times New Roman" w:hAnsi="Times New Roman"/>
          <w:b/>
          <w:sz w:val="16"/>
        </w:rPr>
        <w:t xml:space="preserve">(617) 984-6300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Christopher A. Kroeger, M.D. </w:t>
      </w:r>
    </w:p>
    <w:p>
      <w:pPr>
        <w:pStyle w:val="TextBody"/>
        <w:bidi w:val="0"/>
        <w:spacing w:before="0" w:after="0"/>
        <w:jc w:val="center"/>
        <w:rPr>
          <w:rFonts w:ascii="Times New Roman" w:hAnsi="Times New Roman"/>
          <w:b/>
          <w:sz w:val="16"/>
        </w:rPr>
      </w:pPr>
      <w:r>
        <w:rPr>
          <w:rFonts w:ascii="Times New Roman" w:hAnsi="Times New Roman"/>
          <w:b/>
          <w:sz w:val="16"/>
        </w:rPr>
        <w:t xml:space="preserve">MapLight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800 Chesapeake Drive </w:t>
      </w:r>
    </w:p>
    <w:p>
      <w:pPr>
        <w:pStyle w:val="TextBody"/>
        <w:bidi w:val="0"/>
        <w:spacing w:before="0" w:after="0"/>
        <w:jc w:val="center"/>
        <w:rPr>
          <w:rFonts w:ascii="Times New Roman" w:hAnsi="Times New Roman"/>
          <w:b/>
          <w:sz w:val="16"/>
        </w:rPr>
      </w:pPr>
      <w:r>
        <w:rPr>
          <w:rFonts w:ascii="Times New Roman" w:hAnsi="Times New Roman"/>
          <w:b/>
          <w:sz w:val="16"/>
        </w:rPr>
        <w:t xml:space="preserve">Redwood City, California 94063 </w:t>
      </w:r>
    </w:p>
    <w:p>
      <w:pPr>
        <w:pStyle w:val="TextBody"/>
        <w:bidi w:val="0"/>
        <w:spacing w:before="0" w:after="0"/>
        <w:jc w:val="center"/>
        <w:rPr>
          <w:rFonts w:ascii="Times New Roman" w:hAnsi="Times New Roman"/>
          <w:b/>
          <w:sz w:val="16"/>
        </w:rPr>
      </w:pPr>
      <w:r>
        <w:rPr>
          <w:rFonts w:ascii="Times New Roman" w:hAnsi="Times New Roman"/>
          <w:b/>
          <w:sz w:val="16"/>
        </w:rPr>
        <w:t xml:space="preserve">(617) 984-6300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Christian E. Plaza</w:t>
            </w:r>
          </w:p>
          <w:p>
            <w:pPr>
              <w:pStyle w:val="TableContents"/>
              <w:bidi w:val="0"/>
              <w:spacing w:before="0" w:after="0"/>
              <w:jc w:val="center"/>
              <w:rPr>
                <w:rFonts w:ascii="Times New Roman" w:hAnsi="Times New Roman"/>
                <w:b/>
                <w:sz w:val="16"/>
              </w:rPr>
            </w:pPr>
            <w:r>
              <w:rPr>
                <w:rFonts w:ascii="Times New Roman" w:hAnsi="Times New Roman"/>
                <w:b/>
                <w:sz w:val="16"/>
              </w:rPr>
              <w:t>Mark Ballantyne</w:t>
            </w:r>
          </w:p>
          <w:p>
            <w:pPr>
              <w:pStyle w:val="TableContents"/>
              <w:bidi w:val="0"/>
              <w:spacing w:before="0" w:after="0"/>
              <w:jc w:val="center"/>
              <w:rPr>
                <w:rFonts w:ascii="Times New Roman" w:hAnsi="Times New Roman"/>
                <w:b/>
                <w:sz w:val="16"/>
              </w:rPr>
            </w:pPr>
            <w:r>
              <w:rPr>
                <w:rFonts w:ascii="Times New Roman" w:hAnsi="Times New Roman"/>
                <w:b/>
                <w:sz w:val="16"/>
              </w:rPr>
              <w:t>Madison A. Jones</w:t>
            </w:r>
          </w:p>
          <w:p>
            <w:pPr>
              <w:pStyle w:val="TableContents"/>
              <w:bidi w:val="0"/>
              <w:spacing w:before="0" w:after="0"/>
              <w:jc w:val="center"/>
              <w:rPr>
                <w:rFonts w:ascii="Times New Roman" w:hAnsi="Times New Roman"/>
                <w:b/>
                <w:sz w:val="16"/>
              </w:rPr>
            </w:pPr>
            <w:r>
              <w:rPr>
                <w:rFonts w:ascii="Times New Roman" w:hAnsi="Times New Roman"/>
                <w:b/>
                <w:sz w:val="16"/>
              </w:rPr>
              <w:t>David Brinton</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20"/>
              <w:jc w:val="center"/>
              <w:rPr>
                <w:rFonts w:ascii="Times New Roman" w:hAnsi="Times New Roman"/>
                <w:b/>
                <w:sz w:val="16"/>
              </w:rPr>
            </w:pPr>
            <w:r>
              <w:rPr>
                <w:rFonts w:ascii="Times New Roman" w:hAnsi="Times New Roman"/>
                <w:b/>
                <w:sz w:val="16"/>
              </w:rPr>
              <w:t>11951 Freedom Drive</w:t>
              <w:br/>
              <w:t>Reston, Virginia 20190</w:t>
              <w:br/>
              <w:t>(703) 456-8000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6"/>
              </w:rPr>
            </w:pPr>
            <w:r>
              <w:rPr>
                <w:rFonts w:ascii="Times New Roman" w:hAnsi="Times New Roman"/>
                <w:b/>
                <w:sz w:val="16"/>
              </w:rPr>
              <w:t>Kristopher L. Hanson</w:t>
            </w:r>
          </w:p>
          <w:p>
            <w:pPr>
              <w:pStyle w:val="TableContents"/>
              <w:bidi w:val="0"/>
              <w:spacing w:before="0" w:after="0"/>
              <w:jc w:val="center"/>
              <w:rPr>
                <w:rFonts w:ascii="Times New Roman" w:hAnsi="Times New Roman"/>
                <w:b/>
                <w:sz w:val="16"/>
              </w:rPr>
            </w:pPr>
            <w:r>
              <w:rPr>
                <w:rFonts w:ascii="Times New Roman" w:hAnsi="Times New Roman"/>
                <w:b/>
                <w:sz w:val="16"/>
              </w:rPr>
              <w:t>MapLight Therapeutics, Inc.</w:t>
            </w:r>
          </w:p>
          <w:p>
            <w:pPr>
              <w:pStyle w:val="TableContents"/>
              <w:bidi w:val="0"/>
              <w:spacing w:before="0" w:after="0"/>
              <w:jc w:val="center"/>
              <w:rPr>
                <w:rFonts w:ascii="Times New Roman" w:hAnsi="Times New Roman"/>
                <w:b/>
                <w:sz w:val="16"/>
              </w:rPr>
            </w:pPr>
            <w:r>
              <w:rPr>
                <w:rFonts w:ascii="Times New Roman" w:hAnsi="Times New Roman"/>
                <w:b/>
                <w:sz w:val="16"/>
              </w:rPr>
              <w:t>800 Chesapeake Drive</w:t>
            </w:r>
          </w:p>
          <w:p>
            <w:pPr>
              <w:pStyle w:val="TableContents"/>
              <w:bidi w:val="0"/>
              <w:spacing w:before="0" w:after="0"/>
              <w:jc w:val="center"/>
              <w:rPr>
                <w:rFonts w:ascii="Times New Roman" w:hAnsi="Times New Roman"/>
                <w:b/>
                <w:sz w:val="16"/>
              </w:rPr>
            </w:pPr>
            <w:r>
              <w:rPr>
                <w:rFonts w:ascii="Times New Roman" w:hAnsi="Times New Roman"/>
                <w:b/>
                <w:sz w:val="16"/>
              </w:rPr>
              <w:t>Redwood City, California 94063</w:t>
            </w:r>
          </w:p>
          <w:p>
            <w:pPr>
              <w:pStyle w:val="TableContents"/>
              <w:bidi w:val="0"/>
              <w:spacing w:before="0" w:after="20"/>
              <w:jc w:val="center"/>
              <w:rPr>
                <w:rFonts w:ascii="Times New Roman" w:hAnsi="Times New Roman"/>
                <w:b/>
                <w:sz w:val="16"/>
              </w:rPr>
            </w:pPr>
            <w:r>
              <w:rPr>
                <w:rFonts w:ascii="Times New Roman" w:hAnsi="Times New Roman"/>
                <w:b/>
                <w:sz w:val="16"/>
              </w:rPr>
              <w:t>(617) 984-6300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6"/>
        </w:rPr>
      </w:pPr>
      <w:r>
        <w:rPr>
          <w:rFonts w:ascii="Times New Roman" w:hAnsi="Times New Roman"/>
          <w:b/>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declared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9,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13,181,055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943735" cy="353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735" cy="35306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of up to an aggregate of 13,181,055 shares of common stock, par value $0.0001 per share, of MapLight Therapeutics, Inc., held by the selling stockholders, which consists of (i) 9,197,887 shares of common stock and (ii) 3,983,168 shares of common stock issuable upon the exercise of outstanding pre-funded warrants to purchase shares of common stock held by certain of the selling stockholders, all of which were issued by us in a private placement, or the Private Placement, which closed on August 14, 2026.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two series of common stock: the voting common stock offered hereby and non-voting common stock. We are registering the offer and resale of shares of voting common stock, and unless otherwise noted, all references in this prospectus to our “common stock” refer to our voting common stock.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offer and sale of the shares of common stock from time to time by the selling stockholders to satisfy the registration rights they were granted in connection with the Private Placement.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“Plan of Distribution” for more information. 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relating to the sale of common stock, which will be borne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Select Market under the symbol “MPLT.” On September 8, 2026, the last reported sale price for our common stock on the Nasdaq Global Select Market was $13.95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an “emerging growth company” and a “smaller reporting company” as defined under the U.S. federal securities laws and, as such, we have elected to comply with certain reduced reporting requirements for this prospectus and the documents incorporated by reference herein and may elect to do so in future filings. See the section titled “Prospectus Summary—Implications of Being an Emerging Growth Company and a Smaller Reporting Company.”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risks. See the section titled “</w:t>
      </w:r>
      <w:hyperlink w:anchor="tx546679_4">
        <w:r>
          <w:rPr>
            <w:rStyle w:val="InternetLink"/>
            <w:rFonts w:ascii="Times New Roman" w:hAnsi="Times New Roman"/>
            <w:b/>
            <w:sz w:val="24"/>
          </w:rPr>
          <w:t>Risk Factors</w:t>
        </w:r>
      </w:hyperlink>
      <w:r>
        <w:rPr>
          <w:rFonts w:ascii="Times New Roman" w:hAnsi="Times New Roman"/>
          <w:b/>
          <w:sz w:val="24"/>
        </w:rPr>
        <w:t>” beginning on page 6 of this prospectus and under similar headings in the documents incorporated by reference into this prospectus to read about factors you should consider before buying shares of our common stock.</w:t>
      </w:r>
      <w:r>
        <w:rPr>
          <w:rFonts w:ascii="Times New Roman" w:hAnsi="Times New Roman"/>
          <w:sz w:val="24"/>
        </w:rPr>
        <w:t xml:space="preserve"> </w:t>
      </w:r>
    </w:p>
    <w:p>
      <w:pPr>
        <w:pStyle w:val="TextBody"/>
        <w:bidi w:val="0"/>
        <w:spacing w:before="36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ind w:left="960" w:right="960" w:hanging="0"/>
        <w:jc w:val="center"/>
        <w:rPr>
          <w:rFonts w:ascii="Times New Roman" w:hAnsi="Times New Roman"/>
          <w:sz w:val="20"/>
        </w:rPr>
      </w:pPr>
      <w:r>
        <w:rPr>
          <w:rFonts w:ascii="Times New Roman" w:hAnsi="Times New Roman"/>
          <w:b/>
          <w:sz w:val="20"/>
        </w:rPr>
        <w:t>The date of this prospectus is     , 2026</w:t>
      </w:r>
      <w:r>
        <w:rPr>
          <w:rFonts w:ascii="Times New Roman" w:hAnsi="Times New Roman"/>
          <w:sz w:val="20"/>
        </w:rPr>
        <w:t xml:space="preserve">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54667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stockholders identified in this prospectus under the caption “Selling Stockholders,” from time to time, of up to an aggregate of 13,181,055 shares of common stock. We are not selling any shares of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To the extent there is a conflict between the information contained in this prospectus, on the one hand, and the information contained in any document incorporated by reference filed with the Securities and Exchange Commission, or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MapLight Therapeutics, Inc., a Delaware corporation,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MapLight Therapeutics is our trademark and is used in this prospectus. This prospectus also includes trademarks, trade names and service marks that are the property of other organizations. Solely for convenience, the trademarks and trade names referred to in this prospectus appear without the ® and  symbol, but those references are not intended to indicate, in any way, that we will not assert, to the fullest extent under applicable law, our rights or the right of the applicable licensor to these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54667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herein contain forward-looking statements about us and our industry that involve substantial risks and uncertainties. All statements other than statements of historical fact contained in this prospectus, including statements regarding our plans, objectives, goals, strategies, future events, future revenues or performance, financing needs, plans, or intentions relating to product candidates and markets and business trends and other information referred to under the sections titled “Prospectus Summary” and “Risk Factors” in this prospectus and the sections titled “Risk Factors,” “Management’s Discussion and Analysis of Financial Condition and Results of Operations” and “Business” in our Annual Report on Form 10-K for the year ended December 31, 2025 and “Risk Factors” and “Management’s Discussion and Analysis of Financial Condition and Results of Operations” in our Quarterly Report on Form 10-Q for the quarter ended June 30, 2026, which are incorporated by reference herein, are forward-looking statements. We have based these forward-looking statements largely on our current expectations and projections. In some cases, you can identify forward-looking statements because they contain words such as “anticipate,” “believe,” “can,” “contemplate,” “continue,” “could,” “design,” “estimate,” “expect,” “intend,” “may,” “might,” “objective,” “plan,” “potential,” “predict,” “project,” “shall,” “should,” “target,” “will,” or “would,” or the negative of these words or other similar terms or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preclinical studies and clinical trials of our product candidates, including statements regarding the timing of initiation and completion of studies or trials and related preparatory work, and the period during which the results of the trials will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regulatory submissions, initiation of and enrollment in clinical trials and timing of expected clinical results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patients with the conditions treated by our product candidates and to enroll patients in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potential indications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receive regulatory approval for, and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capital and the sufficiency of our existing cash, cash equivalents and investments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recruit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position for our product candidates, and the scope of such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JOBS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reflect our management’s beliefs and views with respect to future events and are based on estimates and assumptions as of the date of this prospectus and are subject to risks and uncertainties.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prospectus in greater detail under the heading “Risk Factors” included in this prospectus and our Quarterly Report on Form 10-Q for the quarter ended June 30, 2026, which is incorporated by reference herein. You should evaluate all forward-looking statements made in this prospectus in the context of these risks and uncertainties.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this prospectus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54667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or incorporated by reference elsewhere in this prospectus. This summary is not complete and does not contain all of the information you should consider in making your investment decision. Before investing in our common stock, you should carefully read this entire prospectus, including the information incorporated by reference herein. You should carefully consider, among other things, the section titled “Risk Factors” included elsewhere in this prospectus and the risk factors incorporated by reference herein, the section titled “Management’s Discussion and Analysis of Financial Condition and Results of Operations,” and our consolidated financial statements and the related notes thereto included in our Annual Report on Form 10-K for the year ended December 31, 2025 and our Quarterly Report on Form 10-Q for the quarter ended June 30, 2026, which are incorporated by reference herein. Some of the statements in this summary constitute forward-looking statements; see the section titled “Special Note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improving the lives of patients suffering from debilitating central nervous system, or CNS, disorders. We were founded by globally recognized leaders in psychiatry and neuroscience research to address the lack of circuit-specific pharmacotherapies available for patients. Our discovery platform holds the potential to fill this void by identifying neural circuits causally linked to disease and targeting those circuits for therapeutic modulation. We believe our deep understanding of these causal links between the modulation of defined neural circuits and the resulting changes in disease-specific behaviors will enable us to develop therapeutics that can deliver efficacy, safety, tolerability and ease-of-use advantages to patients and prescribers.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ML-007C-MA, is a fixed-dose combination of an M1/M4 muscarinic agonist, ML-007, co-formulated with a peripherally acting anticholinergic, or PAC, which we are initially developing for the treatment of schizophrenia and Alzheimer’s disease psychosis, or ADP. ML-007C-MA is designed to activate both M1 and M4 muscarinic receptors centrally to drive efficacy, while synchronizing the pharmacokinetics of the agonist and antagonist components to mitigate peripheral cholinergic side effects. ML-007 alone, co-administered or co-formulated with the PAC has been evaluated in four Phase 1 trials, with a total of 270 healthy participants enrolled and more than 1,500 doses of ML-007 administered. Based on our clinical and preclinical data, we believe that ML-007C-MA has demonstrated the potential to be a well-tolerated treatment option with convenient dosing, while achieving or exceeding cerebrospinal fluid, or CSF, exposures expected to result in improvement across key symptom domains. In July 2026, we announced positive topline results from ZEPHYR, a Phase 2 trial evaluating ML-007C-MA for the treatment of schizophrenia. Based on the results of ZEPHYR, we intend to engage with the U.S. Food and Drug Administration, or the FDA, in an end-of-Phase 2 meeting to discuss the path forward for ML-007C-MA in schizophrenia, including the design of a Phase 3 trial which, together with ZEPHYR, would support an initial New Drug Application, or NDA, submission. We have begun planning and site identification for this additional, confirmatory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conducting VISTA, a Phase 2 trial evaluating ML-007C-MA for the treatment of ADP, and we expect to report topline results in the second half of 2027. In December 2025, ML-007C-MA was granted Fast Track designation by the FDA for the treatment of hallucinations and delusions associated with ADP.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clinical-stage product candidate, ML-004, is a 5-HT1B/1D agonist that we are developing for the treatment of social communication deficit and/or irritability in autism spectrum disorder, or ASD. In June 2026, we announced topline results from IRIS, a Phase 2 trial evaluating the efficacy, safety and tolerability of ML-004 in adults and adolescents with ASD. Based on the results of IRIS, we intend to engage with the FDA in an end-of-Phase 2 meeting to determine the next steps for development of ML-004 in irritability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ASD, after which we intend to evaluate the path forward for ML-004, including potential strategic collaborations and/or funding alternatives.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common stock involves significant risks. You should carefully consider the risks described in the section titled “Risk Factors” immediately following this prospectus summary and in the section titled “Risk Factors” included in our Quarterly Report on Form 10-Q for the quarter ended June 30, 2026 before making a decision to invest in our common stock. If we are unable to successfully address these risks and challenges, our business, financial condition, results of operations, or prospects could be materially and adversely affected. In such case, the trading price of our common stock would likely decline, and you may lose all or part of your investment. Below is a summary of some of the risks we face.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with a limited operating history and no history of commercializing products, which may make it difficult to evaluate our approach to the discovery and development of product candidates and the prospects for our future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substantial losses since our inception. We anticipate incurring substantial and increasing losses for the foreseeable future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failure to obtain additional capital when needed, or on acceptable terms, could cause us to delay, limit, reduce or terminate our product development or future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identify, develop and commercialize any product candidates, or experience significant delays in doing so, our business, financial condition, results of operations and prospects will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foreign authorities are lengthy, time-consuming, expensive and inherently unpredictable, and if we are ultimately unable to obtain regulatory approval for our product candidates,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incur unexpected costs or experience delays in completing, or ultimately be unable to complete, the development and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products may reduce or eliminate the commercial opportunity for our product candidates for our current or future indications. If our competitors develop technologies or product candidates more rapidly than we do, or their technologies or product candidates are more effective or safer than ours, our ability to develop and successfully commercialize our product candidates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 and our business could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depends on our ability to retain key executives and to attract, retain and motivate qualified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and maintain sufficient intellectual property protection for our current or future product candidates or if the scope of the intellectual property protection we currently have or obtain in the future is not sufficiently broad, our competitors could develop and commercialize product candidates similar or identical to ours, and our ability to successfully commercialize our current or future product candidates may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cause our stock price to fall.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were incorporated under the laws of the State of Delaware in November 2018 as Alvarado Therapeutics, Inc. In August 2019, we changed our name to MapLight Therapeutics, Inc. Our principal executive offices are located at 800 Chesapeake Drive, Redwood City, California 94063, and our telephone number is (617) 984-6300. Our website address is </w:t>
      </w:r>
      <w:r>
        <w:rPr>
          <w:rFonts w:ascii="Times New Roman" w:hAnsi="Times New Roman"/>
          <w:i/>
          <w:sz w:val="20"/>
          <w:bdr w:val="single" w:sz="8" w:space="1" w:color="000000"/>
        </w:rPr>
        <w:t>www.maplightrx.com</w:t>
      </w:r>
      <w:r>
        <w:rPr>
          <w:rFonts w:ascii="Times New Roman" w:hAnsi="Times New Roman"/>
          <w:sz w:val="20"/>
          <w:bdr w:val="single" w:sz="8" w:space="1" w:color="000000"/>
        </w:rPr>
        <w:t xml:space="preserve">. The information contained on, or accessible through, our website is not incorporated by reference into this prospectus. We have included our website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of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13, 2026, we entered into a securities purchase agreement with certain institutional investors pursuant to which we agreed to sell and issue (i) 9,197,887 shares of common stock, or the Shares, and (ii) with respect to certain purchasers, in lieu of shares of common stock, pre-funded warrants, or the Pre-Funded Warrants, to purchase 3,983,168 shares of common stock, or the Warrant Shares, which is collectively referred to in this prospectus as the Private Placement. The closing of the Private Placement occurred on August 14, 2026. The purchase price per Share was $11.38 and the purchase price for the Pre-Funded Warrants was the purchase price per Share minus $0.0001 per Warrant Share underlying the Pre-Funded Warrants. We received gross proceeds of approximately $150.0 million from the Private Placement, before deducting placement agent fees and estimated offering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Pre-Funded Warrants have a per share exercise price of $0.0001, subject to proportional adjustments in the event of stock splits or combinations or similar events. The Pre-Funded Warrants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that holds less than 20% of our common stock prior to such exercise may increase or decrease the beneficial ownership limitation by giving 61 days’ notice to us, but not to any percentage in excess of 19.99%, or, for Catalyst4, Inc., 49.99%.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Also on August 13, 2026, we entered into a registration rights agreement with the purchasers in the Private Placement, or the Registration Rights Agreement. Under the terms of the Registration Rights Agreement, we agreed to prepare and file, within 30 days after the closing of the Private Placement, one or more registration statements with the SEC to register for resale the Shares and the Warrant Shares issuable upon exercise of the Pre-Funded Warrants sold in the Private Placement, and to cause the applicable registration statements to become effective within a specified period set forth in the Registration Rights Agreement. The registration statement of which this prospectus forms a part is being filed to satisfy the requirements of the Registration Rights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of 1933, as amended, or the Securities Act, as modified by the Jumpstart Our Business Startups Act of 2012, or the JOBS Act, and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may take advantage of certain exemptions from various reporting requirements that are applicable to other public companies that are not emerging growth companies, including relief from the auditor attestation requirements of Section 404 of the Sarbanes-Oxley Act of 2002, as amended,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closing of our initial public offering, (ii) the last day of the year in which we have total annual gross revenue of at least $1.235 billion, (iii) the last day of the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consolidated financial information to those of other public companies more difficult.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will continue to be a smaller reporting company as long as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MapLight Therapeutics,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Up to an aggregate of 13,181,055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and non-voting common stock outstanding </w:t>
            </w:r>
          </w:p>
        </w:tc>
        <w:tc>
          <w:tcPr>
            <w:tcW w:w="6329" w:type="dxa"/>
            <w:tcBorders/>
          </w:tcPr>
          <w:p>
            <w:pPr>
              <w:pStyle w:val="TableContents"/>
              <w:bidi w:val="0"/>
              <w:spacing w:before="0" w:after="283"/>
              <w:jc w:val="left"/>
              <w:rPr/>
            </w:pPr>
            <w:r>
              <w:rPr/>
              <w:t xml:space="preserve">64,773,606 shares of common stock (of which 2,727,511 shares are non-voting common stock) as of September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All of the shares of common stock offered by the selling stockholders pursuant to this prospectus will be sold by the selling stockholders for their respective accounts. 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8" w:type="dxa"/>
            <w:tcBorders/>
          </w:tcPr>
          <w:p>
            <w:pPr>
              <w:pStyle w:val="TableContents"/>
              <w:bidi w:val="0"/>
              <w:spacing w:before="0" w:after="283"/>
              <w:jc w:val="left"/>
              <w:rPr/>
            </w:pPr>
            <w:r>
              <w:rPr/>
              <w:t xml:space="preserve">The selling stockholders will offer the shares of common stock offered by this prospectus at the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carefully read and consider the information set forth in the section titled “Risk Factors,” together with all of the other information set forth in this prospectus or incorporated by reference herein,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trading symbol </w:t>
            </w:r>
          </w:p>
        </w:tc>
        <w:tc>
          <w:tcPr>
            <w:tcW w:w="6327" w:type="dxa"/>
            <w:tcBorders/>
          </w:tcPr>
          <w:p>
            <w:pPr>
              <w:pStyle w:val="TableContents"/>
              <w:bidi w:val="0"/>
              <w:spacing w:before="0" w:after="283"/>
              <w:jc w:val="left"/>
              <w:rPr/>
            </w:pPr>
            <w:r>
              <w:rPr/>
              <w:t>“</w:t>
            </w:r>
            <w:r>
              <w:rPr/>
              <w:t xml:space="preserve">MPLT”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13.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and non-voting common stock outstanding as of September 1, 2026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4,810,101 shares of our common stock issuable upon the exercise of options outstanding as of September 1, 2026 at a weighted-average exercise price of $14.95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3,935,504 shares of our common stock issuable upon the vesting and settlement of restricted stock units, or RSUs, outstanding as of September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2,228,226 shares of common stock reserved for future issuance under our 2025 Equity Incentive Plan, or the 2025 Plan, as of September 1, 2026, as well as any future automatic annual increases in the number of shares of common stock reserved for issuance under our 2025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845,259 shares of common stock reserved for future issuance under our 2025 Employee Stock Purchase Plan, or the ESPP, as of September 1, 2026, as well as any future automatic annual increases in the number of shares of common stock reserved for future issuance under our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35,476 additional shares of our common stock potentially issuable pursuant to the Asset Purchase Agreement with NeuroSolis, Inc., dated as of June 18, 2020, upon our achievement of specified development and regulatory milestones.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contained in this prospectus assumes no exercise of the outstanding options and no vesting of the RSUs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54667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risks and uncertainties described below, as well as the risks and uncertainties set forth under the heading “Risk Factors” in our Quarterly Report on Form 10-Q for the quarter ended June 30, 2026, which is incorporated by reference herein, and all of the other information contained in this prospectus and the documents incorporated by reference herein before making an investment decision. If any of the following risks actually occurs,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in the market that the holders of a large number of shares intend to sell shares, could reduce the market price of our common stock. On August 14, 2026, we issued (i) 9,197,887 shares of common stock and (ii) pre-funded warrants to purchase 3,983,168 shares of common stock in the Private Placement. We have agreed to register for resale with the SEC such shares of common stock. The registration statement of which this prospectus forms a part has been filed to satisfy this obligation. Upon the effectiveness of the registration statement, up to 13,181,055 shares of common stock may be freely sold in the open market pursuant to this prospectus. The balance of our outstanding shares of common stock may be resold into the public market immediately without restriction, unless owned or purchased by our affiliates. The sale of a significant amount of these shares of common stock in the open market, or the perception that these sales may occur, could cause the market price of our common stock to decline or become highly volatile. </w:t>
      </w:r>
    </w:p>
    <w:p>
      <w:pPr>
        <w:pStyle w:val="TextBody"/>
        <w:bidi w:val="0"/>
        <w:spacing w:before="240" w:after="0"/>
        <w:jc w:val="left"/>
        <w:rPr>
          <w:rFonts w:ascii="Times New Roman" w:hAnsi="Times New Roman"/>
          <w:sz w:val="20"/>
        </w:rPr>
      </w:pPr>
      <w:r>
        <w:rPr>
          <w:rFonts w:ascii="Times New Roman" w:hAnsi="Times New Roman"/>
          <w:sz w:val="20"/>
        </w:rPr>
        <w:t xml:space="preserve">All of our outstanding options, RSUs and shares that are otherwise issuable under our equity compensation plans are registered under the Securities Act on registration statements on Form S-8. These shares can be freely sold in the public market upon issuance, subject to volume limitations applicable to affiliates, to the extent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54667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offered by the selling stockholders pursuant to this prospectus will be sold by the selling stockholders for their respective accounts. We will not receive any proceeds from any sales of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546679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being offered by the selling stockholders consist of the Shares and the Warrant Shares issuable upon exercise of the Pre-Funded Warrants issued to the selling stockholders in the Private Placement. For additional information regarding the issuance of the Shares and the Pre-Funded Warrants in the Private Placement, see the section “Prospectus Summary—Private Placement of Securities” above. We are registering the resale of the Shares and the Warrant Shares in order to permit such selling stockholders to offer the Shares and Warrant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their ownership of the Shares and Warrant Shares offered hereby. The second column lists the number of shares of common stock beneficially owned by the selling stockholders as of September 1, 2026. The third column lists the shares of common stock being offered by the selling stockholder pursuant to this prospectus. The fourth column assumes the sale of all of the shares of common stock offered by the selling stockholders pursuant to this prospectus. The selling stockholders may sell all, some or none of their shares of common stock in this offering. See “Plan of Distribution”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64,773,606 shares of common stock outstanding as of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herein, the selling stockholders do not have, and within the past three years have not had, any position, office or other material relationship with 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04"/>
        <w:gridCol w:w="161"/>
        <w:gridCol w:w="101"/>
        <w:gridCol w:w="1869"/>
        <w:gridCol w:w="60"/>
        <w:gridCol w:w="161"/>
        <w:gridCol w:w="108"/>
        <w:gridCol w:w="1775"/>
        <w:gridCol w:w="60"/>
        <w:gridCol w:w="161"/>
        <w:gridCol w:w="60"/>
        <w:gridCol w:w="1119"/>
        <w:gridCol w:w="60"/>
        <w:gridCol w:w="161"/>
        <w:gridCol w:w="139"/>
        <w:gridCol w:w="1021"/>
        <w:gridCol w:w="68"/>
      </w:tblGrid>
      <w:tr>
        <w:trPr/>
        <w:tc>
          <w:tcPr>
            <w:tcW w:w="230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w:t>
              <w:br/>
              <w:t>This Offering</w:t>
            </w:r>
          </w:p>
        </w:tc>
        <w:tc>
          <w:tcPr>
            <w:tcW w:w="68"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61"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Beneficially</w:t>
              <w:br/>
              <w:t>Owned Prior to</w:t>
              <w:br/>
              <w:t>This Offering</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Being Offered in</w:t>
              <w:br/>
              <w:t>This Offering(1)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Shares (%)</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Catalyst4, Inc.(2)</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28,235,375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7,328,686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20,906,689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32.3</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Forbion Growth Opportunities Fund III Coöperatief U.A.(3)</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4,428,328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755,711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3,672,617</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5.7</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Nan Fung Group Holdings Limited(4)</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2,911,774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1,054,481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1,857,293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2.9</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Bros. Advisors LP(5)</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2,221,245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1,054,482</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1,166,763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1.8</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Goldman Sachs &amp; Co. LLC(6)</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1,466,074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878,734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587,340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Avego Bioscience Capital, L.P.(7)</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624,703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131,810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492,893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Ltd.(8)</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1,318,101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1,318,101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ADAR1 Capital Management, LLC(9)</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687,465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659,050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28,415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the calculations of the number of shares being offered pursuant to this prospectus, we have assumed the exercise in full of all of the Pre-Funded Warrants without regard to any beneficial ownership limitations on exercise as described above and as set forth in the Pre-Funded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25,306,689 shares of common stock (including 4,400,000 Shares issued in the Private Placement) and (ii) 2,928,686 Warrant Shares issuable upon the exercise of Pre-Funded Warrants held by Catalyst4, Inc. (“Catalyst4”). Robert Brown, Ekemini Riley and Mark Vorsatz are members of the board of directors of Catalyst4 and may be deemed to have shared voting and dispositive power over the shares held by Catalyst4. The principal business address of Catalyst4 and the individuals named in this footnote is 555 Bryant Street, #376, Palo Alto, California 94301. The rights of Catalyst4 to designate directors described below terminated in connection with our initial public offering. In connection with our sale of Series C convertible preferred stock in July 2023, we entered into an amended and restated voting agreement with certain stockholders, including Catalyst4, which granted Catalyst4 the right to designate one member of our board of directors and to jointly designate, with NFLS Beta Limited, one member of our board of directors, pursuant to which Catalyst4 designated George Pavlov and Timothy Garnett to serve on our board of directors. In connection with our sale of additional shares of Series C convertible preferred stock in October 2023, we entered into an amendment to the amended and restated voting agreement, which granted Catalyst4 the right to designate an additional member of our board of directors. In connection with our sale of Series D convertible preferred stock in July 2025, we entered into an amended and restated voting agreement with certain stockholders, including Catalyst4, which granted Catalyst4 the right to designate three members of our board of directors, pursuant to which Catalyst4 designated Timothy Garnett, George Pavlov and Maria Walker to serve on our board of directors. In connection with our sale of additional shares of Series D convertible preferred stock in September 2025, we entered into an amendment to the amended and restated voting agreement, which granted Catalyst4 the right to designate an additional member of our board of directors. In October 2023, we entered into an assignment and assumption agreement with Stellaromics, Inc. (“Stellaromics”) for the transfer of certain intellectual property and received an equity investment in Stellaromics common stock representing 9.8% of the capital stock of Stellaromics; as of June 30, 2026, we held approximately 2.9% of the outstanding capital stock of Stellaromics. Also in October 2023, Catalyst4 became the largest stockholder of Stellaromics, holding approximately 38.4% of its outstanding capital stock; as of June 30, 2026, Catalyst4 holds a controlling interest of the outstanding capital stock of Stellaromics. George Pavlov, a member of our board of directors, and Christopher A. Kroeger, M.D., our Chief Executive Officer, serve as members of the board of directors of Stellaromics. Dr. Kroeger’s seat on the board of directors of Stellaromics is determined by the stockholders holding a majority of the outstanding shares of common stock of Stellaromics.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4,428,328 shares of common stock (including 755,711 Shares issued in the Private Placement) held by Forbion Growth Opportunities Fund III Coöperatief U.A. (“Forbion Growth”). Forbion Growth III Management B.V. (“Forbion Management”), is the director of Forbion Growth and may be deemed to have voting and dispositive power over the securities that are held by Forbion Growth. Investment and divestment decisions with respect to Forbion Growth are made by its alternative investment fund manager FCPM III Services B.V. (“FCPM”) upon recommendation by its investment committee, consisting of Nanna Lüneborg, a member of our board of directors, Sander Slootweg, Dirk Kersten, Wouter Joustra, Jasper Bos, Carlo Incerti, Martien van Osch and Geert-Jan Mulder. The natural persons on the board of FCPM are Dirk Kersten, Machteld Groeneveld, Geert-Jan Mulder, Sander Slootweg and Martien van Osch. FCPM directs the Forbion Management in relation to Forbion Growth. The members of the investment committee have an indirect interest in the Forbion Growth. The principal business address of the Forbion Management, the Forbion Growth, FCPM and the individuals named in this footnote is Gooimeer 2-35, 1411 DC Naarden, the Netherlands. In connection with our sale of Series D convertible preferred stock in July 2025, we entered into an amended and restated voting agreement with certain stockholders, including Forbion Growth, which granted Forbion Growth the right to designate one member of our board of directors, pursuant to which Forbion Growth designated Nanna Lüneborg, Ph.D. to serve on our board of directors. Dr. Lüneborg has served as General Partner at Forbion since September 2021. The rights of Forbion Growth to designate a director terminated in connection with our initial public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611,446 shares of common stock held by Pivotal bioVenture Partners Fund II, L.P. (“Pivotal II”), (ii) 671,606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of common stock held by NFLS Beta Limited (“NFLS Beta”), and (iii) 1,628,722 shares of common stock (including 1,054,481 Shares issued in the Private Placement) held by Permwell Management Limited (“Permwell”). Pivotal bioVenture Partners Fund II G.P. Ltd (“Pivotal II GP”) is the general partner of Pivotal II, and is wholly owned by Pivotal Partners Ltd (“Pivotal Partners”). Pivotal Partners is wholly owned by Pivotal Life Sciences Holdings Limited (“Pivotal Life Sciences” and together with Pivotal II, Pivotal II GP and Pivotal Partners, the “Pivotal Entities”). Pivotal Life Sciences is wholly owned by Nan Fung Life Sciences Holdings Limited (“Nan Fung Life Sciences”), and Nan Fung Life Sciences is wholly owned by NF Investment Holdings Limited (“NFIHL”), which is wholly owned by Nan Fung Group Holdings Limited (“NFGHL”). NFLS Beta is wholly owned by NFLS Platform Holdings Limited (“NFLS Platform”), which is wholly owned by Nan Fung Life Sciences. Permwell is wholly owned by NFIHL. The address of the principal business office of each of the Pivotal Entities is 501 Second Street, Suite 200, San Francisco, CA 94107. The principal business address of each of NFGHL and Permwell is 17th Floor, AIRSIDE, 2 Concorde Road, Kai Tak, Hong Kong. The registered office address of each of NFIHL, Nan Fung Life Sciences and NFLS Beta is Vistra Corporate Services Centre, Wickhams Cay II, Road Town, Tortola, VG1110, British Virgin Islands. The registered office address of NFLS Platform is Cricket Square, Hutchins Drive, P.O. Box 2681, Grand Cayman, KY1-1111, Cayman Islands. In connection with our sale of Series C convertible preferred stock in July 2023, we entered into an amended and restated voting agreement with certain stockholders, including NFLS Beta, which granted NFLS Beta the right to designate one member of our board of directors and to jointly designate, with Catalyst4, one member of our board of directors, pursuant to which NFLS Beta designated Peter Bisgaard and Timothy Garnett to serve on our board of directors. In connection with our sale of Series D convertible preferred stock in July 2025, we entered into an amended and restated voting agreement with certain stockholders, including NFLS Beta, which granted NFLS Beta the right to designate one member of our board of directors, pursuant to which NFLS Beta designated Peter Bisgaard to serve on our board of directors. Mr. Bisgaard served as a member of our board of directors from February 2019 to September 2025. The rights of NFLS Beta to designate a director terminated in connection with our initial public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(i)(a) 1,097,397 shares of common stock and (b) 1,005,774 Warrant Shares issuable upon the exercise of Pre-Funded Warrants held by Baker Brothers Life Sciences, L.P. (“Life Sciences”) and (ii)(a) 69,366 shares of common stock and (b) 48,708 Warrant Shares issuable upon the exercise of Pre-Funded Warrants held by 667, L.P. (“667” and, together with Life Sciences, the “BBA Funds”). Baker Bros. Advisors LP (“BBA”) is the management company and investment advisor to the BBA Funds and has sole voting and investment power with respect to these securities. Baker Bros. Advisors (GP) LLC (the “GP”) is the sole general partner of BBA. Julian C. Baker and Felix J. Baker are managing members of the GP. The GP, Julian C. Baker, Felix J. Baker and BBA may be deemed to be beneficial owners of the securities directly held by the BBA Funds. The business address of BBA, GP, Julian C. Baker and Felix J. Baker is 860 Washington Street, 3rd Floor, New York, NY 10014.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373,751 shares of common stock (including 169,051 Shares issued in the Private Placement) held by Broad Street Principal Investments LLC (“Broad Street”), (ii) 535,073 shares of common stock (including 242,017 Shares issued in the Private Placement) held by West Street Life Sciences I, LP (“WSLS I”), (iii) 143,482 shares of common stock (including 64,898 Shares issued in the Private Placement) held by WSLS Emp Offshore Investments, L.P. (“WSLS Emp Offshore”), (iv) 380,366 shares of common stock (including 172,042 Shares issued in the Private Placement) held by WSLS Emp Onshore Investments L.P. (“WSLS Emp Onshore”), and (v) 510,109 shares of common stock (including 230,726 Shares issued in the Private Placement) held by WSLS Offshore Investments, SLP (“WSLS Offshore SLP”). Goldman Sachs Asset Management, L.P. (“GSAM LP”), as the investment manager of WSLS I, WSLS Emp Offshore, WSLS Emp Onshore, and WSLS Offshore SLP, may be deemed to have voting and investment power over the shares held of record by these entities. Goldman Sachs &amp; Co. LLC (“GS&amp;Co”), as the manager of Broad Street, may be deemed to have voting and investment power over the shares held of record by Broad Street. GS&amp;Co and GSAM LP are direct and indirect wholly-owned subsidiaries of The Goldman Sachs Group, Inc. (“GS Group”). GS Group is a public entity, and its common stock is publicly traded on the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Stock Exchange. The shares were acquired in the ordinary course of the holders’ investment business and not for the purpose of resale or distribution. GS&amp;Co, GSAM LP or GS Group may be deemed to beneficially own the securities held by Broad Street, WSLS I, WSLS Emp Offshore, WSLS Emp Onshore, and WSLS Offshore SLP. The address of GS Group, GS&amp;Co, GSAM LP, Broad Street, WSLS I, WSLS Emp Offshore, and WSLS Emp Onshore is 200 West Street, New York, New York 10282. The address of WSLS Offshore SLP is 12E, Rue Guillaume Kroll, 1882 Luxembourg.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624,703 shares of common stock (including 131,810 shares issued in the Private Placement) held by Avego Bioscience Capital, L.P. (“Avego Bioscience”). Avego Bioscience Capital GP, LLC (“Avego Bioscience GP”), as the general partner of Avego Bioscience, may be deemed to beneficially own the shares beneficially owned by Avego Bioscience. Avego Management LLC (“Avego Management”) and Velan Capital Investment Management LP (“Velan Capital”) are co-investment managers of Avego Bioscience and may be deemed to beneficially own the shares beneficially owned by Avego Bioscience. Velan Capital Management LLC (“Velan IM GP”), as the general partner of Velan Capital, may be deemed to beneficially own the shares beneficially owned by Avego Bioscience. Balaji Venkataraman, as a Managing Member of each of Avego Bioscience GP, Avego Management and Velan IM GP, may be deemed to beneficially own the shares beneficially owned by Avego Bioscience. Adam Morgan, as a Managing Member of Velan IM GP, may be deemed to beneficially own the shares beneficially owned by Avego Bioscience. The business address of Avego Bioscience, Avego Bioscience GP, Avego Management, Velan Capital and Velan IM GP is 100 North Main Street, Suite 301, Alpharetta, GA 30009.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1,318,101 Shares issued in the Private Placement held by Deep Track Biotechnology Master Fund, Ltd. (“Deep Track”). Deep Track Capital, LP (“Deep Track Capital”) is the investment manager of Deep Track, and Deep Track Capital GP, LLC (“Deep Track GP”, and together with Deep Track and Deep Track Capital, the “Deep Track Entities”) is the general partner of Deep Track Capital. David Kroin is the managing member of Deep Track GP. The business address of the Deep Track Entities and Mr. Kroin is 200 Greenwich Ave, 3rd Floor, Greenwich, CT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595,808 shares of common stock (including 571,641 Shares issued in the Private Placement) held by ADAR1 Partners, LP (“ADAR1”), (ii) 89,289 shares of common stock (including 87,409 Shares issued in the Private Placement) held by Spearhead Insurance Solutions IDF, LLC – Series ADAR1 (“Spearhead”); and (iii) 2,368 shares of common stock owned directly by separately managed accounts. ADAR1 Capital Management, LLC (“ADAR1 LLC”), the investment advisor of ADAR1 and the sub-advisor of Spearhead and the separately managed accounts, has voting and investment control of the common stock held by ADAR1, Spearhead and the separately managed accounts. ADAR1 Capital Management GP, LLC (“ADAR1 GP”) is the general partner of ADAR1. Daniel Schneeberger is the manager of ADAR1 LLC and ADAR1 GP. The address of ADAR1, ADAR1 LLC and Mr. Schneeberger is 3503 Wild Cherry Drive, Building 9, Austin, TX 78738. The address of Spearhead is 3828 Kennett Pike, Suite 202, Greenville, </w:t>
            </w:r>
          </w:p>
        </w:tc>
      </w:tr>
    </w:tbl>
    <w:p>
      <w:pPr>
        <w:pStyle w:val="TextBody"/>
        <w:bidi w:val="0"/>
        <w:spacing w:before="0" w:after="0"/>
        <w:jc w:val="left"/>
        <w:rPr>
          <w:rFonts w:ascii="Times New Roman" w:hAnsi="Times New Roman"/>
          <w:sz w:val="20"/>
        </w:rPr>
      </w:pPr>
      <w:r>
        <w:rPr>
          <w:rFonts w:ascii="Times New Roman" w:hAnsi="Times New Roman"/>
          <w:sz w:val="20"/>
        </w:rPr>
        <w:t xml:space="preserve">DE 19807.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546679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that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pledgees, transferees or other successors-in-interest as selling stockholders under this prospectus. The selling stockholders also may transfer the shares of common stock in other circumstances, in which case the donees, transferees, pledgees or other successors-in-interest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546679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being offered by this prospectus will be passed upon for us by Cooley LLP, Reston, Virginia. As of the date of this prospectus, GC&amp;H Investments, LLC, an entity comprising partners and associates of Cooley LLP, beneficially owns 4,382 shares of our common stock. </w:t>
      </w:r>
    </w:p>
    <w:p>
      <w:pPr>
        <w:pStyle w:val="TextBody"/>
        <w:bidi w:val="0"/>
        <w:spacing w:before="480" w:after="0"/>
        <w:jc w:val="center"/>
        <w:rPr>
          <w:rFonts w:ascii="Times New Roman" w:hAnsi="Times New Roman"/>
          <w:b/>
          <w:sz w:val="20"/>
        </w:rPr>
      </w:pPr>
      <w:bookmarkStart w:id="11" w:name="tx546679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MapLight Therapeutics, Inc. and its subsidiary as of December 31, 2025 and 2024 and for the years then ended incorporated in this prospectus by reference from the MapLight Therapeutics, Inc. Annual Report on Form 10-K for the year ended December 31, 2025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12" w:name="tx546679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periodic and current reporting requirements of the Exchange Act and we, in accordance therewith, file reports, proxy statements, and other information with the SEC. These reports, proxy statements, and other information are available at </w:t>
      </w:r>
      <w:r>
        <w:rPr>
          <w:rFonts w:ascii="Times New Roman" w:hAnsi="Times New Roman"/>
          <w:i/>
          <w:sz w:val="20"/>
        </w:rPr>
        <w:t>www.sec.gov</w:t>
      </w:r>
      <w:r>
        <w:rPr>
          <w:rFonts w:ascii="Times New Roman" w:hAnsi="Times New Roman"/>
          <w:sz w:val="20"/>
        </w:rPr>
        <w:t xml:space="preserve">. We also maintain a website at </w:t>
      </w:r>
      <w:r>
        <w:rPr>
          <w:rFonts w:ascii="Times New Roman" w:hAnsi="Times New Roman"/>
          <w:i/>
          <w:sz w:val="20"/>
        </w:rPr>
        <w:t>www.maplightrx.com</w:t>
      </w:r>
      <w:r>
        <w:rPr>
          <w:rFonts w:ascii="Times New Roman" w:hAnsi="Times New Roman"/>
          <w:sz w:val="20"/>
        </w:rPr>
        <w:t xml:space="preserve">, at which you may access these materials free of charge as soon as reasonably practicable after they are electronically filed with, or furnished to, the SEC. The information contained in, or that can be accessed through, our website is not incorporated by reference in, and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546679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Information in this prospectus supersedes information incorporated by reference that we filed with the SEC prior to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and the registration statement of which this prospectus is a part the information or documents listed below that we have filed with the SEC (File No. 001-42914):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2025, filed with the SEC on </w:t>
            </w:r>
            <w:hyperlink r:id="rId3">
              <w:r>
                <w:rPr>
                  <w:rStyle w:val="InternetLink"/>
                  <w:rFonts w:ascii="Times New Roman" w:hAnsi="Times New Roman"/>
                  <w:sz w:val="20"/>
                </w:rPr>
                <w:t>March 26,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Schedule  14A filed with the SEC on </w:t>
            </w:r>
            <w:hyperlink r:id="rId4">
              <w:r>
                <w:rPr>
                  <w:rStyle w:val="InternetLink"/>
                  <w:rFonts w:ascii="Times New Roman" w:hAnsi="Times New Roman"/>
                  <w:sz w:val="20"/>
                </w:rPr>
                <w:t>April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14, 2026</w:t>
              </w:r>
            </w:hyperlink>
            <w:r>
              <w:rPr>
                <w:rFonts w:ascii="Times New Roman" w:hAnsi="Times New Roman"/>
                <w:sz w:val="20"/>
              </w:rPr>
              <w:t xml:space="preserve"> and </w:t>
            </w:r>
            <w:hyperlink r:id="rId6">
              <w:r>
                <w:rPr>
                  <w:rStyle w:val="InternetLink"/>
                  <w:rFonts w:ascii="Times New Roman" w:hAnsi="Times New Roman"/>
                  <w:sz w:val="20"/>
                </w:rPr>
                <w:t>August 13,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April  29, 2026</w:t>
              </w:r>
            </w:hyperlink>
            <w:r>
              <w:rPr>
                <w:rFonts w:ascii="Times New Roman" w:hAnsi="Times New Roman"/>
                <w:sz w:val="20"/>
              </w:rPr>
              <w:t xml:space="preserve">, </w:t>
            </w:r>
            <w:hyperlink r:id="rId8">
              <w:r>
                <w:rPr>
                  <w:rStyle w:val="InternetLink"/>
                  <w:rFonts w:ascii="Times New Roman" w:hAnsi="Times New Roman"/>
                  <w:sz w:val="20"/>
                </w:rPr>
                <w:t>June  18, 2026</w:t>
              </w:r>
            </w:hyperlink>
            <w:r>
              <w:rPr>
                <w:rFonts w:ascii="Times New Roman" w:hAnsi="Times New Roman"/>
                <w:sz w:val="20"/>
              </w:rPr>
              <w:t xml:space="preserve">, </w:t>
            </w:r>
            <w:hyperlink r:id="rId9">
              <w:r>
                <w:rPr>
                  <w:rStyle w:val="InternetLink"/>
                  <w:rFonts w:ascii="Times New Roman" w:hAnsi="Times New Roman"/>
                  <w:sz w:val="20"/>
                </w:rPr>
                <w:t>June  22, 2026</w:t>
              </w:r>
            </w:hyperlink>
            <w:r>
              <w:rPr>
                <w:rFonts w:ascii="Times New Roman" w:hAnsi="Times New Roman"/>
                <w:sz w:val="20"/>
              </w:rPr>
              <w:t xml:space="preserve">, </w:t>
            </w:r>
            <w:hyperlink r:id="rId10">
              <w:r>
                <w:rPr>
                  <w:rStyle w:val="InternetLink"/>
                  <w:rFonts w:ascii="Times New Roman" w:hAnsi="Times New Roman"/>
                  <w:sz w:val="20"/>
                </w:rPr>
                <w:t>June  24, 2026</w:t>
              </w:r>
            </w:hyperlink>
            <w:r>
              <w:rPr>
                <w:rFonts w:ascii="Times New Roman" w:hAnsi="Times New Roman"/>
                <w:sz w:val="20"/>
              </w:rPr>
              <w:t xml:space="preserve">, </w:t>
            </w:r>
            <w:hyperlink r:id="rId11">
              <w:r>
                <w:rPr>
                  <w:rStyle w:val="InternetLink"/>
                  <w:rFonts w:ascii="Times New Roman" w:hAnsi="Times New Roman"/>
                  <w:sz w:val="20"/>
                </w:rPr>
                <w:t>July  27, 2026</w:t>
              </w:r>
            </w:hyperlink>
            <w:r>
              <w:rPr>
                <w:rFonts w:ascii="Times New Roman" w:hAnsi="Times New Roman"/>
                <w:sz w:val="20"/>
              </w:rPr>
              <w:t xml:space="preserve"> and </w:t>
            </w:r>
            <w:hyperlink r:id="rId12">
              <w:r>
                <w:rPr>
                  <w:rStyle w:val="InternetLink"/>
                  <w:rFonts w:ascii="Times New Roman" w:hAnsi="Times New Roman"/>
                  <w:sz w:val="20"/>
                </w:rPr>
                <w:t>August 13,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SEC on October 24, 2025, as updated by </w:t>
            </w:r>
            <w:hyperlink r:id="rId14">
              <w:r>
                <w:rPr>
                  <w:rStyle w:val="InternetLink"/>
                  <w:rFonts w:ascii="Times New Roman" w:hAnsi="Times New Roman"/>
                  <w:sz w:val="20"/>
                </w:rPr>
                <w:t>Exhibit 4.2</w:t>
              </w:r>
            </w:hyperlink>
            <w:r>
              <w:rPr>
                <w:rFonts w:ascii="Times New Roman" w:hAnsi="Times New Roman"/>
                <w:sz w:val="20"/>
              </w:rPr>
              <w:t xml:space="preserve"> of our Annual Report on Form 10-K for the year ended December 31, 2025, filed with the SEC on March 26, 2026,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subsequently filed by us pursuant to Sections 13(a), 13(c), 14 or 15(d) of the Exchange Act prior to the termination of the offering (excluding any information furnished rather than filed)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the documents incorporated by reference in this prospectus, including exhibits to these documents. You should direct any requests for documents to MapLight Therapeutics, Inc., Attn: Corporate Secretary, 800 Chesapeake Drive, Redwood City, California 94063, telephone (617) 984-6300. You also may access these filings on our website at </w:t>
      </w:r>
      <w:r>
        <w:rPr>
          <w:rFonts w:ascii="Times New Roman" w:hAnsi="Times New Roman"/>
          <w:i/>
          <w:sz w:val="20"/>
        </w:rPr>
        <w:t>www.maplightrx.com</w:t>
      </w:r>
      <w:r>
        <w:rPr>
          <w:rFonts w:ascii="Times New Roman" w:hAnsi="Times New Roman"/>
          <w:sz w:val="20"/>
        </w:rPr>
        <w:t xml:space="preserve">.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13,181,055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43735" cy="3530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43735" cy="3530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MapLight Therapeutics, Inc. </w:t>
      </w:r>
    </w:p>
    <w:p>
      <w:pPr>
        <w:pStyle w:val="TextBody"/>
        <w:bidi w:val="0"/>
        <w:spacing w:before="0" w:after="0"/>
        <w:jc w:val="left"/>
        <w:rPr/>
      </w:pPr>
      <w:r>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payable by us in connection with the sale of the securities being registered. All amounts are estimated except the U.S. Securities and Exchange Commission, or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24,046</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100,000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26,000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59,954</w:t>
            </w:r>
          </w:p>
        </w:tc>
        <w:tc>
          <w:tcPr>
            <w:tcW w:w="64"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210,000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102(b)(7) of the Delaware General Corporation Law, or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DGCL, our amended and restated certificate of incorporation and amended and restated bylaws provide that: (i) we are required to indemnify our directors to the fullest extent permitted by the DGCL; (ii) we may, in our discretion, indemnify our officers, employees and other agents as set forth in the DGCL;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 a manner such person reasonably believed to be in, or not opposed to, our best interests. The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Registration Rights Agreement filed as Exhibit 10.12 to this registration statement provides for indemnification by the investors, severally and not jointly, of us, each of our directors, each of our officers who have signed this registration statement, and each person who controls us within the meaning of the Securities Act of 1933, as amended, or the Securities Act, or the Securities Exchange Act of 1934, as amended, or the Exchange Act, for certain liabilities based upon (i) any untrue statement or alleged untrue statement or omission or alleged omission of any material fact contained in this registration statement, or any prospectus, amendment or supplement relating thereto, or (ii) any violation or alleged violation by us or any of our subsidiaries of the Securities Act, the Exchange Act, or any other state securities or other “blue sky” laws of any jurisdiction in which the securities registered hereunder are offered and relating to action or inaction required of us in connection with such registration, in each case only to the extent such liabilities result from information about an investor furnished in writing by such investor for use in connection with the preparation of this registration statement or such prospectus, amendment or supplement relating thereto, subject to certain limits.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information regarding all unregistered securities issued and options granted by us since January 1, 2023 through the date of this registration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issued 32,739,009 shares of our Series C convertible preferred stock to six individual and institutional accredited investors at a purchase price of $1.52723 per share, for aggregate consideration of $50.0 million.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we issued 36,012,910 shares of our Series C convertible preferred stock to 12 individual and institutional accredited investors at a purchase price of $1.52723 per share, for aggregate consideration of $55.0 million. </w:t>
      </w:r>
    </w:p>
    <w:p>
      <w:pPr>
        <w:pStyle w:val="TextBody"/>
        <w:bidi w:val="0"/>
        <w:spacing w:before="240" w:after="0"/>
        <w:jc w:val="left"/>
        <w:rPr>
          <w:rFonts w:ascii="Times New Roman" w:hAnsi="Times New Roman"/>
          <w:sz w:val="20"/>
        </w:rPr>
      </w:pPr>
      <w:r>
        <w:rPr>
          <w:rFonts w:ascii="Times New Roman" w:hAnsi="Times New Roman"/>
          <w:sz w:val="20"/>
        </w:rPr>
        <w:t xml:space="preserve">In March 2024, we issued 78,573,608 shares of our Series C convertible preferred stock to 12 individual and institutional accredited investors at a purchase price of $1.52723 per share, for aggregate consideration of $120.0 million. </w:t>
      </w:r>
    </w:p>
    <w:p>
      <w:pPr>
        <w:pStyle w:val="TextBody"/>
        <w:bidi w:val="0"/>
        <w:spacing w:before="240" w:after="0"/>
        <w:jc w:val="left"/>
        <w:rPr>
          <w:rFonts w:ascii="Times New Roman" w:hAnsi="Times New Roman"/>
          <w:sz w:val="20"/>
        </w:rPr>
      </w:pPr>
      <w:r>
        <w:rPr>
          <w:rFonts w:ascii="Times New Roman" w:hAnsi="Times New Roman"/>
          <w:sz w:val="20"/>
        </w:rPr>
        <w:t xml:space="preserve">In July 2025, we issued 197,628,635 shares of our Series D convertible preferred stock to 19 institutional accredited investors at a purchase price of $0.95223 per share, for aggregate consideration of $188.2 million.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issued 12,404,650 shares of our Series D convertible preferred stock to two institutional accredited investors at a purchase price of $0.95223 per share, for aggregate consideration of $11.8 million.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shares of convertible preferred stock described above were exempt under Section 4(a)(2) of the Securities Act or Rule 506 of Regulation D under the Securities Act as a transaction by an issuer not involving a public offering. The recipients of the securities in each of these transactions acquired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concurrently with the closing of our initial public offering, we issued 476,707 shares of our common stock to affiliates of Goldman Sachs &amp; Co. LLC, including certain investment funds managed by Goldman Sachs &amp; Co. LLC, each of which were existing stockholders, at a purchase price of $17.00 per share, for aggregate consideration of $8.1 million. Morgan Stanley &amp; Co. LLC, Jefferies LLC, Leerink Partners LLC and Stifel, Nicolaus &amp; Company, Incorporated acted as placement agents for the concurrent private placement, and we paid a placement agent fee equal to 7.0% of the total purchase price of the shares sold in the concurrent private placement. The common stock issued and sold in the concurrent private placement was issued and sold pursuant to Section 4(a)(2) of the Securities Act. Each purchaser represented that it is an institutional “accredited investor” within the meaning of Rule 501 of Regulation D under the Securities Act and was acquiring the common stock for investment purposes only and not with a view to any public distribution or with any intention of selling, distributing or otherwise disposing of the common stock in a manner that would violate the registration requirements of the Securities Act. The common stock was offered without any general solicitation by us or our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2025, upon the closing of our initial public offering, all shares of our then outstanding convertible preferred stock were automatically converted into 25,412,974 shares of common stock (of which 2,727,511 shares were non-voting common stock). The issuance of such shares of common stock was exempt from registration under Section 3(a)(9) of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2026, we issued (i) 9,197,887 shares of common stock, at a purchase price of $11.38 per share, and (ii) pre-funded warrants to purchase 3,983,168 shares of common stock, at a purchase price of $11.3799 per share underlying the pre-funded warrants. The offer, sale and issuance of these securities was exempt under Section 4(a)(2) of the Securities Act as a transaction by an issuer not involving a public offering. Each purchaser represented that it is an institutional “accredited investor” within the meaning of Rule 501(a)(1), (2), (3) and (7) of Regulation D under the Securities Act and was acquiring the securities for investment purposes only and not with a view to any public distribution or with any intention of selling, distributing or otherwise disposing of the securities in a manner that would violate the registration requirements of the Securities Act. The securities were offered without any general solicitation or general advertising.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Issuances Pursuant to our Equity Plans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through October 25, 2025, we granted options under our 2019 Equity Incentive Plan to purchase an aggregate of 217,789 shares of common stock, at a weighted-average exercise price of $9.92 per share, to our employees, directors and consultants. From January 1, 2023 through October 25, 2025, 122,482 shares have been issued upon the exercise of options for aggregate consideration of $524,465. </w:t>
      </w:r>
    </w:p>
    <w:p>
      <w:pPr>
        <w:pStyle w:val="TextBody"/>
        <w:bidi w:val="0"/>
        <w:spacing w:before="240" w:after="0"/>
        <w:jc w:val="left"/>
        <w:rPr>
          <w:rFonts w:ascii="Times New Roman" w:hAnsi="Times New Roman"/>
          <w:sz w:val="20"/>
        </w:rPr>
      </w:pPr>
      <w:r>
        <w:rPr>
          <w:rFonts w:ascii="Times New Roman" w:hAnsi="Times New Roman"/>
          <w:sz w:val="20"/>
        </w:rPr>
        <w:t xml:space="preserve">From January 1, 2023 through October 25, 2025, we granted 6,392,854 RSUs to our employees, directors and consultants under the 2019 Equity Incentive Plan to be settled in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None of the foregoing transactions involved any underwriters, underwriting discounts or commissions, or any public offering. These transactions were exempt from registration under the Securities Act in reliance on Section 4(a)(2) of the Securities Act or Rule 701 promulgated under Section 3(b) of the Securities Act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stock certificates issued in these transactions. All recipients had adequate access, through their relationships with us, to information about us. The sales of these securities were made without any general solicitation or advertising.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listed below are filed as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4"/>
        <w:gridCol w:w="301"/>
        <w:gridCol w:w="3663"/>
        <w:gridCol w:w="196"/>
        <w:gridCol w:w="664"/>
        <w:gridCol w:w="196"/>
        <w:gridCol w:w="988"/>
        <w:gridCol w:w="196"/>
        <w:gridCol w:w="855"/>
        <w:gridCol w:w="196"/>
        <w:gridCol w:w="883"/>
        <w:gridCol w:w="196"/>
        <w:gridCol w:w="223"/>
        <w:gridCol w:w="834"/>
        <w:gridCol w:w="70"/>
      </w:tblGrid>
      <w:tr>
        <w:trPr/>
        <w:tc>
          <w:tcPr>
            <w:tcW w:w="744"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7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301" w:type="dxa"/>
            <w:tcBorders/>
            <w:vAlign w:val="bottom"/>
          </w:tcPr>
          <w:p>
            <w:pPr>
              <w:pStyle w:val="TableContents"/>
              <w:bidi w:val="0"/>
              <w:spacing w:before="0" w:after="283"/>
              <w:jc w:val="left"/>
              <w:rPr/>
            </w:pPr>
            <w:r>
              <w:rPr/>
              <w:t>  </w:t>
            </w:r>
          </w:p>
        </w:tc>
        <w:tc>
          <w:tcPr>
            <w:tcW w:w="36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96" w:type="dxa"/>
            <w:tcBorders/>
            <w:vAlign w:val="bottom"/>
          </w:tcPr>
          <w:p>
            <w:pPr>
              <w:pStyle w:val="TableContents"/>
              <w:bidi w:val="0"/>
              <w:spacing w:before="0" w:after="283"/>
              <w:jc w:val="left"/>
              <w:rPr/>
            </w:pPr>
            <w:r>
              <w:rPr/>
              <w:t>  </w:t>
            </w:r>
          </w:p>
        </w:tc>
        <w:tc>
          <w:tcPr>
            <w:tcW w:w="664"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6" w:type="dxa"/>
            <w:tcBorders/>
            <w:vAlign w:val="bottom"/>
          </w:tcPr>
          <w:p>
            <w:pPr>
              <w:pStyle w:val="TableContents"/>
              <w:bidi w:val="0"/>
              <w:spacing w:before="0" w:after="283"/>
              <w:jc w:val="left"/>
              <w:rPr/>
            </w:pPr>
            <w:r>
              <w:rPr/>
              <w:t>  </w:t>
            </w:r>
          </w:p>
        </w:tc>
        <w:tc>
          <w:tcPr>
            <w:tcW w:w="988"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96" w:type="dxa"/>
            <w:tcBorders/>
            <w:vAlign w:val="bottom"/>
          </w:tcPr>
          <w:p>
            <w:pPr>
              <w:pStyle w:val="TableContents"/>
              <w:bidi w:val="0"/>
              <w:spacing w:before="0" w:after="283"/>
              <w:jc w:val="left"/>
              <w:rPr/>
            </w:pPr>
            <w:r>
              <w:rPr/>
              <w:t>  </w:t>
            </w:r>
          </w:p>
        </w:tc>
        <w:tc>
          <w:tcPr>
            <w:tcW w:w="855"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6" w:type="dxa"/>
            <w:tcBorders/>
            <w:vAlign w:val="bottom"/>
          </w:tcPr>
          <w:p>
            <w:pPr>
              <w:pStyle w:val="TableContents"/>
              <w:bidi w:val="0"/>
              <w:spacing w:before="0" w:after="283"/>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6"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70" w:type="dxa"/>
            <w:tcBorders/>
            <w:vAlign w:val="bottom"/>
          </w:tcPr>
          <w:p>
            <w:pPr>
              <w:pStyle w:val="TableContents"/>
              <w:bidi w:val="0"/>
              <w:spacing w:before="0" w:after="283"/>
              <w:jc w:val="left"/>
              <w:rPr/>
            </w:pPr>
            <w:r>
              <w:rPr/>
              <w:t> </w:t>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3.1</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16">
              <w:r>
                <w:rPr>
                  <w:rStyle w:val="InternetLink"/>
                </w:rPr>
                <w:t xml:space="preserve">Amended and Restated Certificate of Incorporation of the Registrant </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8-K</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001-42914</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3.1</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10/29/2025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3.2</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17">
              <w:r>
                <w:rPr>
                  <w:rStyle w:val="InternetLink"/>
                </w:rPr>
                <w:t xml:space="preserve">Amended and Restated Bylaws of the Registrant </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8-K</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001-42914</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3.2</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10/29/2025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4.1</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18">
              <w:r>
                <w:rPr>
                  <w:rStyle w:val="InternetLink"/>
                </w:rPr>
                <w:t>Amended and Restated Investors’ Rights Agreement, by and among the Registrant and certain of its stockholders, dated July  18, 2025</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S-1</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333-290400</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4.1</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9/19/2025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4.2</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19">
              <w:r>
                <w:rPr>
                  <w:rStyle w:val="InternetLink"/>
                </w:rPr>
                <w:t xml:space="preserve">Form of Pre-Funded Warrant </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8-K</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001-42914</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4.1</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8/13/2026</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5.1</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w:anchor="d546679dex51.htm">
              <w:r>
                <w:rPr>
                  <w:rStyle w:val="InternetLink"/>
                </w:rPr>
                <w:t xml:space="preserve">Opinion of Cooley LLP </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10.1+</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20">
              <w:r>
                <w:rPr>
                  <w:rStyle w:val="InternetLink"/>
                </w:rPr>
                <w:t>2019 Equity Incentive Plan and Forms of Stock Option Agreement and Notice of Exercise and Restricted Stock Unit Grant Notice and Restricted Stock Award Agreement</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S-1</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333-290400</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10.1</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9/19/2025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10.2+</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21">
              <w:r>
                <w:rPr>
                  <w:rStyle w:val="InternetLink"/>
                </w:rPr>
                <w:t>2025 Equity Incentive Plan and Forms of Stock Option Grant Notice, Stock Option Agreement, Notice of Exercise, Restricted Stock Unit Grant Notice and Restricted Stock Unit Award Agreement</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S-1/A</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333-290400</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10.2</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10/6/2025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10.3+</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22">
              <w:r>
                <w:rPr>
                  <w:rStyle w:val="InternetLink"/>
                </w:rPr>
                <w:t xml:space="preserve">2025 Employee Stock Purchase Plan </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S-1/A</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333-290400</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10.3</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10/6/2025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10.4+</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23">
              <w:r>
                <w:rPr>
                  <w:rStyle w:val="InternetLink"/>
                </w:rPr>
                <w:t>Form of Indemnification Agreement with Executive Officers and Directors</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S-1</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333-290400</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10.4</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9/19/2025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10.5+</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24">
              <w:r>
                <w:rPr>
                  <w:rStyle w:val="InternetLink"/>
                </w:rPr>
                <w:t>Confirmatory Offer Letter Agreement by and between the Registrant and Christopher A. Kroeger, M.D.</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10-Q</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001-42914</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10.5</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12/4/2025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10.6+</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25">
              <w:r>
                <w:rPr>
                  <w:rStyle w:val="InternetLink"/>
                </w:rPr>
                <w:t xml:space="preserve">Confirmatory Offer Letter Agreement by and between the Registrant and Erin Pennock Foff, M.D., Ph.D. </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10-Q</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001-42914</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10.7</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12/4/2025</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4" w:type="dxa"/>
            <w:tcBorders/>
            <w:vAlign w:val="center"/>
          </w:tcPr>
          <w:p>
            <w:pPr>
              <w:pStyle w:val="TableContents"/>
              <w:bidi w:val="0"/>
              <w:spacing w:before="0" w:after="283"/>
              <w:jc w:val="left"/>
              <w:rPr>
                <w:sz w:val="4"/>
                <w:szCs w:val="4"/>
              </w:rPr>
            </w:pPr>
            <w:r>
              <w:rPr>
                <w:sz w:val="4"/>
                <w:szCs w:val="4"/>
              </w:rPr>
            </w:r>
          </w:p>
        </w:tc>
        <w:tc>
          <w:tcPr>
            <w:tcW w:w="39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184" w:type="dxa"/>
            <w:gridSpan w:val="2"/>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before="0" w:after="283"/>
              <w:jc w:val="left"/>
              <w:rPr>
                <w:sz w:val="4"/>
                <w:szCs w:val="4"/>
              </w:rPr>
            </w:pPr>
            <w:r>
              <w:rPr>
                <w:sz w:val="4"/>
                <w:szCs w:val="4"/>
              </w:rPr>
            </w:r>
          </w:p>
        </w:tc>
        <w:tc>
          <w:tcPr>
            <w:tcW w:w="1079" w:type="dxa"/>
            <w:gridSpan w:val="2"/>
            <w:tcBorders/>
            <w:vAlign w:val="center"/>
          </w:tcPr>
          <w:p>
            <w:pPr>
              <w:pStyle w:val="TableContents"/>
              <w:bidi w:val="0"/>
              <w:spacing w:before="0" w:after="283"/>
              <w:jc w:val="left"/>
              <w:rPr>
                <w:sz w:val="4"/>
                <w:szCs w:val="4"/>
              </w:rPr>
            </w:pPr>
            <w:r>
              <w:rPr>
                <w:sz w:val="4"/>
                <w:szCs w:val="4"/>
              </w:rPr>
            </w:r>
          </w:p>
        </w:tc>
        <w:tc>
          <w:tcPr>
            <w:tcW w:w="1323" w:type="dxa"/>
            <w:gridSpan w:val="4"/>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 </w:t>
            </w:r>
            <w:r>
              <w:rPr/>
              <w:t>10.7+</w:t>
            </w:r>
          </w:p>
        </w:tc>
        <w:tc>
          <w:tcPr>
            <w:tcW w:w="301"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hyperlink r:id="rId26">
              <w:r>
                <w:rPr>
                  <w:rStyle w:val="InternetLink"/>
                </w:rPr>
                <w:t xml:space="preserve">Release Agreement by and between the Registrant and Vishwas Setia dated June 18, 2026. </w:t>
              </w:r>
            </w:hyperlink>
          </w:p>
        </w:tc>
        <w:tc>
          <w:tcPr>
            <w:tcW w:w="196"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center"/>
              <w:rPr/>
            </w:pPr>
            <w:r>
              <w:rPr/>
              <w:t>10-Q</w:t>
            </w:r>
          </w:p>
        </w:tc>
        <w:tc>
          <w:tcPr>
            <w:tcW w:w="196" w:type="dxa"/>
            <w:tcBorders/>
            <w:vAlign w:val="bottom"/>
          </w:tcPr>
          <w:p>
            <w:pPr>
              <w:pStyle w:val="TableContents"/>
              <w:bidi w:val="0"/>
              <w:spacing w:before="0" w:after="283"/>
              <w:jc w:val="left"/>
              <w:rPr/>
            </w:pPr>
            <w:r>
              <w:rPr/>
              <w:t>  </w:t>
            </w:r>
          </w:p>
        </w:tc>
        <w:tc>
          <w:tcPr>
            <w:tcW w:w="988" w:type="dxa"/>
            <w:tcBorders/>
          </w:tcPr>
          <w:p>
            <w:pPr>
              <w:pStyle w:val="TableContents"/>
              <w:bidi w:val="0"/>
              <w:spacing w:before="0" w:after="283"/>
              <w:jc w:val="center"/>
              <w:rPr/>
            </w:pPr>
            <w:r>
              <w:rPr/>
              <w:t>001-42914</w:t>
            </w:r>
          </w:p>
        </w:tc>
        <w:tc>
          <w:tcPr>
            <w:tcW w:w="196" w:type="dxa"/>
            <w:tcBorders/>
            <w:vAlign w:val="bottom"/>
          </w:tcPr>
          <w:p>
            <w:pPr>
              <w:pStyle w:val="TableContents"/>
              <w:bidi w:val="0"/>
              <w:spacing w:before="0" w:after="283"/>
              <w:jc w:val="left"/>
              <w:rPr/>
            </w:pPr>
            <w:r>
              <w:rPr/>
              <w:t>  </w:t>
            </w:r>
          </w:p>
        </w:tc>
        <w:tc>
          <w:tcPr>
            <w:tcW w:w="855" w:type="dxa"/>
            <w:tcBorders/>
          </w:tcPr>
          <w:p>
            <w:pPr>
              <w:pStyle w:val="TableContents"/>
              <w:bidi w:val="0"/>
              <w:spacing w:before="0" w:after="283"/>
              <w:jc w:val="center"/>
              <w:rPr/>
            </w:pPr>
            <w:r>
              <w:rPr/>
              <w:t>10.1</w:t>
            </w:r>
          </w:p>
        </w:tc>
        <w:tc>
          <w:tcPr>
            <w:tcW w:w="19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center"/>
              <w:rPr/>
            </w:pPr>
            <w:r>
              <w:rPr/>
              <w:t>8/13/2026</w:t>
            </w:r>
          </w:p>
        </w:tc>
        <w:tc>
          <w:tcPr>
            <w:tcW w:w="19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03"/>
        <w:gridCol w:w="326"/>
        <w:gridCol w:w="3873"/>
        <w:gridCol w:w="199"/>
        <w:gridCol w:w="613"/>
        <w:gridCol w:w="199"/>
        <w:gridCol w:w="957"/>
        <w:gridCol w:w="199"/>
        <w:gridCol w:w="786"/>
        <w:gridCol w:w="198"/>
        <w:gridCol w:w="875"/>
        <w:gridCol w:w="199"/>
        <w:gridCol w:w="978"/>
      </w:tblGrid>
      <w:tr>
        <w:trPr/>
        <w:tc>
          <w:tcPr>
            <w:tcW w:w="803"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8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326" w:type="dxa"/>
            <w:tcBorders/>
            <w:vAlign w:val="bottom"/>
          </w:tcPr>
          <w:p>
            <w:pPr>
              <w:pStyle w:val="TableContents"/>
              <w:bidi w:val="0"/>
              <w:spacing w:before="0" w:after="283"/>
              <w:jc w:val="left"/>
              <w:rPr/>
            </w:pPr>
            <w:r>
              <w:rPr/>
              <w:t>  </w:t>
            </w:r>
          </w:p>
        </w:tc>
        <w:tc>
          <w:tcPr>
            <w:tcW w:w="38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99" w:type="dxa"/>
            <w:tcBorders/>
            <w:vAlign w:val="bottom"/>
          </w:tcPr>
          <w:p>
            <w:pPr>
              <w:pStyle w:val="TableContents"/>
              <w:bidi w:val="0"/>
              <w:spacing w:before="0" w:after="283"/>
              <w:jc w:val="left"/>
              <w:rPr/>
            </w:pPr>
            <w:r>
              <w:rPr/>
              <w:t>  </w:t>
            </w:r>
          </w:p>
        </w:tc>
        <w:tc>
          <w:tcPr>
            <w:tcW w:w="613"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9" w:type="dxa"/>
            <w:tcBorders/>
            <w:vAlign w:val="bottom"/>
          </w:tcPr>
          <w:p>
            <w:pPr>
              <w:pStyle w:val="TableContents"/>
              <w:bidi w:val="0"/>
              <w:spacing w:before="0" w:after="283"/>
              <w:jc w:val="left"/>
              <w:rPr/>
            </w:pPr>
            <w:r>
              <w:rPr/>
              <w:t>  </w:t>
            </w:r>
          </w:p>
        </w:tc>
        <w:tc>
          <w:tcPr>
            <w:tcW w:w="957"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99" w:type="dxa"/>
            <w:tcBorders/>
            <w:vAlign w:val="bottom"/>
          </w:tcPr>
          <w:p>
            <w:pPr>
              <w:pStyle w:val="TableContents"/>
              <w:bidi w:val="0"/>
              <w:spacing w:before="0" w:after="283"/>
              <w:jc w:val="left"/>
              <w:rPr/>
            </w:pPr>
            <w:r>
              <w:rPr/>
              <w:t>  </w:t>
            </w:r>
          </w:p>
        </w:tc>
        <w:tc>
          <w:tcPr>
            <w:tcW w:w="78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8" w:type="dxa"/>
            <w:tcBorders/>
            <w:vAlign w:val="bottom"/>
          </w:tcPr>
          <w:p>
            <w:pPr>
              <w:pStyle w:val="TableContents"/>
              <w:bidi w:val="0"/>
              <w:spacing w:before="0" w:after="283"/>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9" w:type="dxa"/>
            <w:tcBorders/>
            <w:vAlign w:val="bottom"/>
          </w:tcPr>
          <w:p>
            <w:pPr>
              <w:pStyle w:val="TableContents"/>
              <w:bidi w:val="0"/>
              <w:spacing w:before="0" w:after="283"/>
              <w:jc w:val="left"/>
              <w:rPr/>
            </w:pPr>
            <w:r>
              <w:rPr/>
              <w:t>  </w:t>
            </w:r>
          </w:p>
        </w:tc>
        <w:tc>
          <w:tcPr>
            <w:tcW w:w="978" w:type="dxa"/>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10.8+</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27">
              <w:r>
                <w:rPr>
                  <w:rStyle w:val="InternetLink"/>
                </w:rPr>
                <w:t xml:space="preserve">Severance and Change in Control Plan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333-290400</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10.10</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9/19/2025</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10.9+</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28">
              <w:r>
                <w:rPr>
                  <w:rStyle w:val="InternetLink"/>
                </w:rPr>
                <w:t xml:space="preserve">Non-Employee Director Compensation Policy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10-Q</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001-42914</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10.1</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5/14/2026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10.10#</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29">
              <w:r>
                <w:rPr>
                  <w:rStyle w:val="InternetLink"/>
                </w:rPr>
                <w:t>Asset Purchase Agreement by and between the Registrant and NeuroSolis, Inc. dated June 18, 2020</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333-290400</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10.8</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9/19/2025</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10.11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0">
              <w:r>
                <w:rPr>
                  <w:rStyle w:val="InternetLink"/>
                </w:rPr>
                <w:t xml:space="preserve">Form of Securities Purchase Agreement, dated August 13, 2026, by and among MapLight Therapeutics, Inc. and the Purchasers.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8-K</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001-42914</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10.1</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8/13/2026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10.12</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1">
              <w:r>
                <w:rPr>
                  <w:rStyle w:val="InternetLink"/>
                </w:rPr>
                <w:t xml:space="preserve">Form of Registration Rights Agreement, dated August 13, 2026, by and among MapLight Therapeutics, Inc. and the Purchasers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8-K</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001-42914</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10.2</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8/13/2026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21.1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w:anchor="d546679dex211.htm">
              <w:r>
                <w:rPr>
                  <w:rStyle w:val="InternetLink"/>
                </w:rPr>
                <w:t xml:space="preserve">List of Subsidiaries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X</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23.1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w:anchor="d546679dex231.htm">
              <w:r>
                <w:rPr>
                  <w:rStyle w:val="InternetLink"/>
                </w:rPr>
                <w:t xml:space="preserve">Consent of RSM US LLP, independent registered public accounting firm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X</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23.2</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w:anchor="d546679dex51.htm">
              <w:r>
                <w:rPr>
                  <w:rStyle w:val="InternetLink"/>
                </w:rPr>
                <w:t xml:space="preserve">Consent of Cooley LLP (included in Exhibit 5.1)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X</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24.1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w:anchor="ii546679_poa">
              <w:r>
                <w:rPr>
                  <w:rStyle w:val="InternetLink"/>
                </w:rPr>
                <w:t>Powers of Attorney (included on the signature page).</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X</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107</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w:anchor="d546679dexfilingfees.htm">
              <w:r>
                <w:rPr>
                  <w:rStyle w:val="InternetLink"/>
                </w:rPr>
                <w:t xml:space="preserve">Filing Fee Table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X</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this exhibit have been omitted pursuant to Item 601(a)(5) of Regulation S-K. A copy of any omitted schedule and/or exhibit will be furnished to the SEC upon request.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601(b)(10) of Regulation S-K, portions of this exhibit have been omitted as the registrant has determined that the omitted information is (i) not material and (ii) the type of information that the registrant customarily and actually treats as private or confidential.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No financial statement schedules are provided because the information called for is not required or is shown either in the financial statements or the notes thereto that are incorporated by reference into the prospectus forming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ii546679_poa"/>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City of Redwood City, State of California, on the 9th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MAPLIGHT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vAlign w:val="center"/>
          </w:tcPr>
          <w:p>
            <w:pPr>
              <w:pStyle w:val="TableContents"/>
              <w:bidi w:val="0"/>
              <w:spacing w:before="0" w:after="283"/>
              <w:jc w:val="left"/>
              <w:rPr/>
            </w:pPr>
            <w:r>
              <w:rPr/>
              <w:t>/s/ Christopher A. Kroeger, M.D.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Christopher A. Kroeger, M.D.</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Christopher A. Kroeger, M.D. and Jonathan Gillis, and each of them, as his or her true and lawful attorney-in-fact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42"/>
        <w:gridCol w:w="120"/>
        <w:gridCol w:w="3542"/>
        <w:gridCol w:w="196"/>
        <w:gridCol w:w="2005"/>
      </w:tblGrid>
      <w:tr>
        <w:trPr/>
        <w:tc>
          <w:tcPr>
            <w:tcW w:w="43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43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6" w:type="dxa"/>
            <w:tcBorders/>
            <w:vAlign w:val="bottom"/>
          </w:tcPr>
          <w:p>
            <w:pPr>
              <w:pStyle w:val="TableContents"/>
              <w:bidi w:val="0"/>
              <w:spacing w:before="0" w:after="283"/>
              <w:jc w:val="left"/>
              <w:rPr/>
            </w:pPr>
            <w:r>
              <w:rPr/>
              <w:t> </w:t>
            </w:r>
          </w:p>
        </w:tc>
        <w:tc>
          <w:tcPr>
            <w:tcW w:w="20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A. Kroeger, M.D.</w:t>
            </w:r>
          </w:p>
          <w:p>
            <w:pPr>
              <w:pStyle w:val="TableContents"/>
              <w:bidi w:val="0"/>
              <w:spacing w:before="0" w:after="20"/>
              <w:jc w:val="center"/>
              <w:rPr>
                <w:rFonts w:ascii="Times New Roman" w:hAnsi="Times New Roman"/>
                <w:sz w:val="20"/>
              </w:rPr>
            </w:pPr>
            <w:r>
              <w:rPr>
                <w:rFonts w:ascii="Times New Roman" w:hAnsi="Times New Roman"/>
                <w:sz w:val="20"/>
              </w:rPr>
              <w:t>Christopher A. Kroeger, M.D.</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Gillis</w:t>
            </w:r>
          </w:p>
          <w:p>
            <w:pPr>
              <w:pStyle w:val="TableContents"/>
              <w:bidi w:val="0"/>
              <w:spacing w:before="0" w:after="20"/>
              <w:jc w:val="center"/>
              <w:rPr>
                <w:rFonts w:ascii="Times New Roman" w:hAnsi="Times New Roman"/>
                <w:sz w:val="20"/>
              </w:rPr>
            </w:pPr>
            <w:r>
              <w:rPr>
                <w:rFonts w:ascii="Times New Roman" w:hAnsi="Times New Roman"/>
                <w:sz w:val="20"/>
              </w:rPr>
              <w:t>Jonathan Gillis</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center"/>
              <w:rPr/>
            </w:pPr>
            <w:r>
              <w:rPr/>
              <w:t xml:space="preserve">Interim Chief Financial Officer and Chief Administrative and Accounting Officer </w:t>
            </w:r>
            <w:r>
              <w:rPr>
                <w:i/>
              </w:rPr>
              <w:t>(Principal Financial Officer and Principal Accounting Officer)</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George Pavlov</w:t>
            </w:r>
          </w:p>
          <w:p>
            <w:pPr>
              <w:pStyle w:val="TableContents"/>
              <w:bidi w:val="0"/>
              <w:spacing w:before="0" w:after="20"/>
              <w:jc w:val="center"/>
              <w:rPr>
                <w:rFonts w:ascii="Times New Roman" w:hAnsi="Times New Roman"/>
                <w:sz w:val="20"/>
              </w:rPr>
            </w:pPr>
            <w:r>
              <w:rPr>
                <w:rFonts w:ascii="Times New Roman" w:hAnsi="Times New Roman"/>
                <w:sz w:val="20"/>
              </w:rPr>
              <w:t>George Pavlov</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center"/>
              <w:rPr/>
            </w:pPr>
            <w:r>
              <w:rPr/>
              <w:t>Chair of the Board of Directors</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Martin Babler</w:t>
            </w:r>
          </w:p>
          <w:p>
            <w:pPr>
              <w:pStyle w:val="TableContents"/>
              <w:bidi w:val="0"/>
              <w:spacing w:before="0" w:after="20"/>
              <w:jc w:val="center"/>
              <w:rPr>
                <w:rFonts w:ascii="Times New Roman" w:hAnsi="Times New Roman"/>
                <w:sz w:val="20"/>
              </w:rPr>
            </w:pPr>
            <w:r>
              <w:rPr>
                <w:rFonts w:ascii="Times New Roman" w:hAnsi="Times New Roman"/>
                <w:sz w:val="20"/>
              </w:rPr>
              <w:t>Martin Babler</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Troy Cox</w:t>
            </w:r>
          </w:p>
          <w:p>
            <w:pPr>
              <w:pStyle w:val="TableContents"/>
              <w:bidi w:val="0"/>
              <w:spacing w:before="0" w:after="20"/>
              <w:jc w:val="center"/>
              <w:rPr>
                <w:rFonts w:ascii="Times New Roman" w:hAnsi="Times New Roman"/>
                <w:sz w:val="20"/>
              </w:rPr>
            </w:pPr>
            <w:r>
              <w:rPr>
                <w:rFonts w:ascii="Times New Roman" w:hAnsi="Times New Roman"/>
                <w:sz w:val="20"/>
              </w:rPr>
              <w:t>Troy Cox</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Timothy Garnett, M.B.B.S.</w:t>
            </w:r>
          </w:p>
          <w:p>
            <w:pPr>
              <w:pStyle w:val="TableContents"/>
              <w:bidi w:val="0"/>
              <w:spacing w:before="0" w:after="20"/>
              <w:jc w:val="center"/>
              <w:rPr>
                <w:rFonts w:ascii="Times New Roman" w:hAnsi="Times New Roman"/>
                <w:sz w:val="20"/>
              </w:rPr>
            </w:pPr>
            <w:r>
              <w:rPr>
                <w:rFonts w:ascii="Times New Roman" w:hAnsi="Times New Roman"/>
                <w:sz w:val="20"/>
              </w:rPr>
              <w:t>Timothy Garnett, M.B.B.S.</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Nanna Lüneborg, Ph.D.</w:t>
            </w:r>
          </w:p>
          <w:p>
            <w:pPr>
              <w:pStyle w:val="TableContents"/>
              <w:bidi w:val="0"/>
              <w:spacing w:before="0" w:after="20"/>
              <w:jc w:val="center"/>
              <w:rPr>
                <w:rFonts w:ascii="Times New Roman" w:hAnsi="Times New Roman"/>
                <w:sz w:val="20"/>
              </w:rPr>
            </w:pPr>
            <w:r>
              <w:rPr>
                <w:rFonts w:ascii="Times New Roman" w:hAnsi="Times New Roman"/>
                <w:sz w:val="20"/>
              </w:rPr>
              <w:t>Nanna Lüneborg, Ph.D.</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r>
        <w:trPr>
          <w:trHeight w:val="240" w:hRule="atLeast"/>
        </w:trPr>
        <w:tc>
          <w:tcPr>
            <w:tcW w:w="4342" w:type="dxa"/>
            <w:tcBorders/>
            <w:vAlign w:val="center"/>
          </w:tcPr>
          <w:p>
            <w:pPr>
              <w:pStyle w:val="TableContents"/>
              <w:bidi w:val="0"/>
              <w:spacing w:before="0" w:after="283"/>
              <w:jc w:val="left"/>
              <w:rPr>
                <w:sz w:val="4"/>
                <w:szCs w:val="4"/>
              </w:rPr>
            </w:pPr>
            <w:r>
              <w:rPr>
                <w:sz w:val="4"/>
                <w:szCs w:val="4"/>
              </w:rPr>
            </w:r>
          </w:p>
        </w:tc>
        <w:tc>
          <w:tcPr>
            <w:tcW w:w="3662" w:type="dxa"/>
            <w:gridSpan w:val="2"/>
            <w:tcBorders/>
            <w:vAlign w:val="center"/>
          </w:tcPr>
          <w:p>
            <w:pPr>
              <w:pStyle w:val="TableContents"/>
              <w:bidi w:val="0"/>
              <w:spacing w:before="0" w:after="283"/>
              <w:jc w:val="left"/>
              <w:rPr>
                <w:sz w:val="4"/>
                <w:szCs w:val="4"/>
              </w:rPr>
            </w:pPr>
            <w:r>
              <w:rPr>
                <w:sz w:val="4"/>
                <w:szCs w:val="4"/>
              </w:rPr>
            </w:r>
          </w:p>
        </w:tc>
        <w:tc>
          <w:tcPr>
            <w:tcW w:w="2201" w:type="dxa"/>
            <w:gridSpan w:val="2"/>
            <w:tcBorders/>
            <w:vAlign w:val="center"/>
          </w:tcPr>
          <w:p>
            <w:pPr>
              <w:pStyle w:val="TableContents"/>
              <w:bidi w:val="0"/>
              <w:spacing w:before="0" w:after="283"/>
              <w:jc w:val="left"/>
              <w:rPr>
                <w:sz w:val="4"/>
                <w:szCs w:val="4"/>
              </w:rPr>
            </w:pPr>
            <w:r>
              <w:rPr>
                <w:sz w:val="4"/>
                <w:szCs w:val="4"/>
              </w:rPr>
            </w:r>
          </w:p>
        </w:tc>
      </w:tr>
      <w:tr>
        <w:trPr/>
        <w:tc>
          <w:tcPr>
            <w:tcW w:w="43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Maria Walker</w:t>
            </w:r>
          </w:p>
          <w:p>
            <w:pPr>
              <w:pStyle w:val="TableContents"/>
              <w:bidi w:val="0"/>
              <w:spacing w:before="0" w:after="20"/>
              <w:jc w:val="center"/>
              <w:rPr>
                <w:rFonts w:ascii="Times New Roman" w:hAnsi="Times New Roman"/>
                <w:sz w:val="20"/>
              </w:rPr>
            </w:pPr>
            <w:r>
              <w:rPr>
                <w:rFonts w:ascii="Times New Roman" w:hAnsi="Times New Roman"/>
                <w:sz w:val="20"/>
              </w:rPr>
              <w:t>Maria Walker</w:t>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center"/>
              <w:rPr/>
            </w:pPr>
            <w:r>
              <w:rPr/>
              <w:t>September 9, 2026</w:t>
            </w:r>
          </w:p>
        </w:tc>
      </w:tr>
    </w:tbl>
    <w:p>
      <w:pPr>
        <w:pStyle w:val="TextBody"/>
        <w:bidi w:val="0"/>
        <w:spacing w:before="0" w:after="0"/>
        <w:jc w:val="right"/>
        <w:rPr>
          <w:rFonts w:ascii="Times New Roman" w:hAnsi="Times New Roman"/>
          <w:b/>
          <w:sz w:val="20"/>
        </w:rPr>
      </w:pPr>
      <w:bookmarkStart w:id="15" w:name="d546679dex51.htm"/>
      <w:bookmarkStart w:id="16" w:name="ksd546679dex51"/>
      <w:bookmarkEnd w:id="15"/>
      <w:bookmarkEnd w:id="16"/>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15430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Mark Ballantyne </w:t>
      </w:r>
    </w:p>
    <w:p>
      <w:pPr>
        <w:pStyle w:val="TextBody"/>
        <w:bidi w:val="0"/>
        <w:spacing w:before="0" w:after="0"/>
        <w:jc w:val="left"/>
        <w:rPr>
          <w:rFonts w:ascii="Times New Roman" w:hAnsi="Times New Roman"/>
          <w:sz w:val="20"/>
        </w:rPr>
      </w:pPr>
      <w:r>
        <w:rPr>
          <w:rFonts w:ascii="Times New Roman" w:hAnsi="Times New Roman"/>
          <w:sz w:val="20"/>
        </w:rPr>
        <w:t xml:space="preserve">+1 (703) 456-8084 </w:t>
      </w:r>
    </w:p>
    <w:p>
      <w:pPr>
        <w:pStyle w:val="TextBody"/>
        <w:bidi w:val="0"/>
        <w:spacing w:before="0" w:after="0"/>
        <w:jc w:val="left"/>
        <w:rPr>
          <w:rFonts w:ascii="Times New Roman" w:hAnsi="Times New Roman"/>
          <w:sz w:val="20"/>
        </w:rPr>
      </w:pPr>
      <w:r>
        <w:rPr>
          <w:rFonts w:ascii="Times New Roman" w:hAnsi="Times New Roman"/>
          <w:sz w:val="20"/>
        </w:rPr>
        <w:t xml:space="preserve">mballantyne@cooley.com </w:t>
      </w:r>
    </w:p>
    <w:p>
      <w:pPr>
        <w:pStyle w:val="TextBody"/>
        <w:bidi w:val="0"/>
        <w:spacing w:before="240" w:after="0"/>
        <w:jc w:val="left"/>
        <w:rPr>
          <w:rFonts w:ascii="Times New Roman" w:hAnsi="Times New Roman"/>
          <w:sz w:val="20"/>
        </w:rPr>
      </w:pPr>
      <w:r>
        <w:rPr>
          <w:rFonts w:ascii="Times New Roman" w:hAnsi="Times New Roman"/>
          <w:sz w:val="20"/>
        </w:rPr>
        <w:t xml:space="preserve">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MapLight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800 Chesapeake Drive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MapLight Therapeutics,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S-1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13,181,055 shares of the Company’s common stock, par value $0.0001 per share (“</w:t>
      </w:r>
      <w:r>
        <w:rPr>
          <w:rFonts w:ascii="Times New Roman" w:hAnsi="Times New Roman"/>
          <w:b/>
          <w:i/>
          <w:sz w:val="20"/>
        </w:rPr>
        <w:t>Common Stock</w:t>
      </w:r>
      <w:r>
        <w:rPr>
          <w:rFonts w:ascii="Times New Roman" w:hAnsi="Times New Roman"/>
          <w:sz w:val="20"/>
        </w:rPr>
        <w:t>”), consisting of (a) 9,197,887 shares (the “</w:t>
      </w:r>
      <w:r>
        <w:rPr>
          <w:rFonts w:ascii="Times New Roman" w:hAnsi="Times New Roman"/>
          <w:b/>
          <w:i/>
          <w:sz w:val="20"/>
        </w:rPr>
        <w:t>Shares</w:t>
      </w:r>
      <w:r>
        <w:rPr>
          <w:rFonts w:ascii="Times New Roman" w:hAnsi="Times New Roman"/>
          <w:sz w:val="20"/>
        </w:rPr>
        <w:t>”) of Common Stock that are currently outstanding and (b) up to 3,983,168 shares (the “</w:t>
      </w:r>
      <w:r>
        <w:rPr>
          <w:rFonts w:ascii="Times New Roman" w:hAnsi="Times New Roman"/>
          <w:b/>
          <w:i/>
          <w:sz w:val="20"/>
        </w:rPr>
        <w:t>Warrant Shares</w:t>
      </w:r>
      <w:r>
        <w:rPr>
          <w:rFonts w:ascii="Times New Roman" w:hAnsi="Times New Roman"/>
          <w:sz w:val="20"/>
        </w:rPr>
        <w:t>”) of Common Stock issuable upon the exercise of pre-funded warrants to purchase shares of Common Stock (the “</w:t>
      </w:r>
      <w:r>
        <w:rPr>
          <w:rFonts w:ascii="Times New Roman" w:hAnsi="Times New Roman"/>
          <w:b/>
          <w:i/>
          <w:sz w:val="20"/>
        </w:rPr>
        <w:t>Warrants</w:t>
      </w:r>
      <w:r>
        <w:rPr>
          <w:rFonts w:ascii="Times New Roman" w:hAnsi="Times New Roman"/>
          <w:sz w:val="20"/>
        </w:rPr>
        <w:t>”). The Shares and the Warrants were issued by the Company pursuant to the Securities Purchase Agreement, dated August 13, 2026, by and among the Company and the purchasers named therein (the “</w:t>
      </w:r>
      <w:r>
        <w:rPr>
          <w:rFonts w:ascii="Times New Roman" w:hAnsi="Times New Roman"/>
          <w:b/>
          <w:i/>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Company’s certificate of incorporation and bylaws, each as currently in effect, the Purchase Agreement, the form of the Warrants,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limitations and qualifications set forth herein, we are of the opinion that (i) the Shares are validly issued, fully paid and nonassessable and (ii) the Warrant Shares, when issued and paid for in accordance with the terms of the Warrants,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11951 Freedom Drive Reston, VA 20190-5656 </w:t>
      </w:r>
    </w:p>
    <w:p>
      <w:pPr>
        <w:pStyle w:val="TextBody"/>
        <w:bidi w:val="0"/>
        <w:spacing w:before="0" w:after="0"/>
        <w:jc w:val="center"/>
        <w:rPr>
          <w:rFonts w:ascii="Times New Roman" w:hAnsi="Times New Roman"/>
          <w:sz w:val="20"/>
        </w:rPr>
      </w:pPr>
      <w:r>
        <w:rPr>
          <w:rFonts w:ascii="Times New Roman" w:hAnsi="Times New Roman"/>
          <w:sz w:val="20"/>
        </w:rPr>
        <w:t xml:space="preserve">t: +1 703 456-8000 f: +1 703 456-8100 cooley.com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65910" cy="552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565910" cy="552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9,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Ballantyne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Mark Ballantyne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11951 Freedom Drive Reston, VA 20190-5656 </w:t>
      </w:r>
    </w:p>
    <w:p>
      <w:pPr>
        <w:pStyle w:val="TextBody"/>
        <w:bidi w:val="0"/>
        <w:spacing w:before="0" w:after="0"/>
        <w:jc w:val="center"/>
        <w:rPr>
          <w:rFonts w:ascii="Times New Roman" w:hAnsi="Times New Roman"/>
          <w:sz w:val="20"/>
        </w:rPr>
      </w:pPr>
      <w:r>
        <w:rPr>
          <w:rFonts w:ascii="Times New Roman" w:hAnsi="Times New Roman"/>
          <w:sz w:val="20"/>
        </w:rPr>
        <w:t xml:space="preserve">t: +1 703 456-8000  f: +1 703 456-8100  cooley.com </w:t>
      </w:r>
    </w:p>
    <w:p>
      <w:pPr>
        <w:pStyle w:val="TextBody"/>
        <w:bidi w:val="0"/>
        <w:spacing w:before="0" w:after="0"/>
        <w:jc w:val="right"/>
        <w:rPr>
          <w:rFonts w:ascii="Times New Roman" w:hAnsi="Times New Roman"/>
          <w:b/>
          <w:sz w:val="20"/>
        </w:rPr>
      </w:pPr>
      <w:bookmarkStart w:id="17" w:name="d546679dex211.htm"/>
      <w:bookmarkStart w:id="18" w:name="ksd546679dex211"/>
      <w:bookmarkEnd w:id="17"/>
      <w:bookmarkEnd w:id="18"/>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MAPLIGHT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MapLight Australia Pty. Ltd., a company incorporated under the laws of Australia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MapLight Holding Company,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MapLight ML-004,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MapLight Research and Development Company, LLC, a Delaware limited liability company </w:t>
            </w:r>
          </w:p>
        </w:tc>
      </w:tr>
    </w:tbl>
    <w:p>
      <w:pPr>
        <w:pStyle w:val="TextBody"/>
        <w:bidi w:val="0"/>
        <w:spacing w:before="0" w:after="0"/>
        <w:jc w:val="right"/>
        <w:rPr>
          <w:rFonts w:ascii="Times New Roman" w:hAnsi="Times New Roman"/>
          <w:b/>
          <w:sz w:val="20"/>
        </w:rPr>
      </w:pPr>
      <w:bookmarkStart w:id="19" w:name="d546679dex231.htm"/>
      <w:bookmarkStart w:id="20" w:name="ksd546679dex231"/>
      <w:bookmarkEnd w:id="19"/>
      <w:bookmarkEnd w:id="20"/>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S-1 and related prospectus of MapLight Therapeutics, Inc. of our report dated March 26, 2026, relating to the consolidated financial statements of MapLight Therapeutics, Inc. and its subsidiary, appearing in the Annual Report on Form 10-K of MapLight Therapeutics, Inc.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our firm under the heading “Experts” in such prospectus. </w:t>
      </w:r>
    </w:p>
    <w:p>
      <w:pPr>
        <w:pStyle w:val="TextBody"/>
        <w:bidi w:val="0"/>
        <w:spacing w:before="240" w:after="0"/>
        <w:jc w:val="left"/>
        <w:rPr>
          <w:rFonts w:ascii="Times New Roman" w:hAnsi="Times New Roman"/>
          <w:sz w:val="20"/>
        </w:rPr>
      </w:pPr>
      <w:r>
        <w:rPr>
          <w:rFonts w:ascii="Times New Roman" w:hAnsi="Times New Roman"/>
          <w:sz w:val="20"/>
        </w:rPr>
        <w:t xml:space="preserve">/s/ RSM US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September 9, 2026 </w:t>
      </w:r>
    </w:p>
    <w:p>
      <w:pPr>
        <w:pStyle w:val="Normal"/>
        <w:bidi w:val="0"/>
        <w:spacing w:before="0" w:after="0"/>
        <w:jc w:val="left"/>
        <w:rPr>
          <w:sz w:val="4"/>
          <w:szCs w:val="4"/>
        </w:rPr>
      </w:pPr>
      <w:r>
        <w:rPr>
          <w:sz w:val="4"/>
          <w:szCs w:val="4"/>
        </w:rPr>
      </w:r>
      <w:bookmarkStart w:id="21" w:name="d546679dexfilingfees.htm"/>
      <w:bookmarkStart w:id="22" w:name="ksd546679dexfilingfees"/>
      <w:bookmarkStart w:id="23" w:name="d546679dexfilingfees.htm"/>
      <w:bookmarkStart w:id="24" w:name="ksd546679dexfilingfees"/>
      <w:bookmarkEnd w:id="23"/>
      <w:bookmarkEnd w:id="24"/>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MapLight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13,181,055 </w:t>
            </w:r>
          </w:p>
        </w:tc>
        <w:tc>
          <w:tcPr>
            <w:tcW w:w="1156" w:type="dxa"/>
            <w:tcBorders/>
            <w:shd w:fill="E7E7E2" w:val="clear"/>
            <w:vAlign w:val="center"/>
          </w:tcPr>
          <w:p>
            <w:pPr>
              <w:pStyle w:val="TableContents"/>
              <w:bidi w:val="0"/>
              <w:spacing w:before="0" w:after="283"/>
              <w:jc w:val="right"/>
              <w:rPr/>
            </w:pPr>
            <w:r>
              <w:rPr/>
              <w:t xml:space="preserve">$ 13.21 </w:t>
            </w:r>
          </w:p>
        </w:tc>
        <w:tc>
          <w:tcPr>
            <w:tcW w:w="1786" w:type="dxa"/>
            <w:tcBorders/>
            <w:shd w:fill="E7E7E2" w:val="clear"/>
            <w:vAlign w:val="center"/>
          </w:tcPr>
          <w:p>
            <w:pPr>
              <w:pStyle w:val="TableContents"/>
              <w:bidi w:val="0"/>
              <w:spacing w:before="0" w:after="283"/>
              <w:jc w:val="right"/>
              <w:rPr/>
            </w:pPr>
            <w:r>
              <w:rPr/>
              <w:t xml:space="preserve">$ 174,121,736.55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$ 24,046.21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5" w:name="MaxAggtOfferingPrice"/>
            <w:bookmarkEnd w:id="25"/>
            <w:r>
              <w:rPr/>
              <w:t xml:space="preserve">$ 174,121,736.55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$ 24,046.21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$ 24,046.21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This registration statement registers the resale of shares of common stock by the selling stockholders pursuant to the prospectus contained herein. Pursuant to Rule 416(a) promulgated under the Securities Act of 1933, as amended (the "Securities Act"), this registration statement shall also cover any additional shares of common stock, par value $0.0001 per share ("Common Stock") of MapLight Therapeutics, Inc. that become issuable by reason of any stock dividend, stock split, recapitalization or other similar transaction with respect to the shares of Common Stock being registered pursuant to this registration statement. The maximum aggregate offering price has been estimated solely for the purpose of calculating the amount of the registration fee pursuant to Rule 457(c) under the Securities Act, based on the average of the high and low prices of the Common Stock as reported on the Nasdaq Global Select Market on September 3, 2026, which date is within five business days prior to the date of the filing of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70069/000119312526125072/mplt-20251231.htm" TargetMode="External"/><Relationship Id="rId4" Type="http://schemas.openxmlformats.org/officeDocument/2006/relationships/hyperlink" Target="http://www.sec.gov/Archives/edgar/data/../../../ix?doc=/Archives/edgar/data/1770069/000119312526191449/d121249ddef14a.htm" TargetMode="External"/><Relationship Id="rId5" Type="http://schemas.openxmlformats.org/officeDocument/2006/relationships/hyperlink" Target="http://www.sec.gov/Archives/edgar/data/../../../ix?doc=/Archives/edgar/data/1770069/000119312526224129/mplt-20260331.htm" TargetMode="External"/><Relationship Id="rId6" Type="http://schemas.openxmlformats.org/officeDocument/2006/relationships/hyperlink" Target="http://www.sec.gov/Archives/edgar/data/../../../ix?doc=/Archives/edgar/data/1770069/000119312526349554/mplt-20260630.htm" TargetMode="External"/><Relationship Id="rId7" Type="http://schemas.openxmlformats.org/officeDocument/2006/relationships/hyperlink" Target="http://www.sec.gov/Archives/edgar/data/../../../ix?doc=/Archives/edgar/data/1770069/000119312526191566/d114505d8k.htm" TargetMode="External"/><Relationship Id="rId8" Type="http://schemas.openxmlformats.org/officeDocument/2006/relationships/hyperlink" Target="http://www.sec.gov/Archives/edgar/data/../../../ix?doc=/Archives/edgar/data/1770069/000119312526276065/d227825d8k.htm" TargetMode="External"/><Relationship Id="rId9" Type="http://schemas.openxmlformats.org/officeDocument/2006/relationships/hyperlink" Target="http://www.sec.gov/Archives/edgar/data/../../../ix?doc=/Archives/edgar/data/1770069/000119312526276691/d31456d8k.htm" TargetMode="External"/><Relationship Id="rId10" Type="http://schemas.openxmlformats.org/officeDocument/2006/relationships/hyperlink" Target="http://www.sec.gov/Archives/edgar/data/../../../ix?doc=/Archives/edgar/data/1770069/000119312526280243/d119921d8k.htm" TargetMode="External"/><Relationship Id="rId11" Type="http://schemas.openxmlformats.org/officeDocument/2006/relationships/hyperlink" Target="http://www.sec.gov/Archives/edgar/data/../../../ix?doc=/Archives/edgar/data/1770069/000119312526316820/d139086d8k.htm" TargetMode="External"/><Relationship Id="rId12" Type="http://schemas.openxmlformats.org/officeDocument/2006/relationships/hyperlink" Target="http://www.sec.gov/Archives/edgar/data/../../../ix?doc=/Archives/edgar/data/1770069/000119312526349490/d48818d8k.htm" TargetMode="External"/><Relationship Id="rId13" Type="http://schemas.openxmlformats.org/officeDocument/2006/relationships/hyperlink" Target="http://www.sec.gov/Archives/edgar/data/1770069/000119312525249941/d48773d8a12b.htm" TargetMode="External"/><Relationship Id="rId14" Type="http://schemas.openxmlformats.org/officeDocument/2006/relationships/hyperlink" Target="http://www.sec.gov/Archives/edgar/data/1770069/000119312526125072/mplt-ex4_2.htm" TargetMode="External"/><Relationship Id="rId15" Type="http://schemas.openxmlformats.org/officeDocument/2006/relationships/image" Target="media/image1.jpeg"/><Relationship Id="rId16" Type="http://schemas.openxmlformats.org/officeDocument/2006/relationships/hyperlink" Target="http://www.sec.gov/Archives/edgar/data/1770069/000119312525255041/d89036dex31.htm" TargetMode="External"/><Relationship Id="rId17" Type="http://schemas.openxmlformats.org/officeDocument/2006/relationships/hyperlink" Target="http://www.sec.gov/Archives/edgar/data/1770069/000119312525255041/d89036dex32.htm" TargetMode="External"/><Relationship Id="rId18" Type="http://schemas.openxmlformats.org/officeDocument/2006/relationships/hyperlink" Target="http://www.sec.gov/Archives/edgar/data/1770069/000119312525209084/d741179dex41.htm" TargetMode="External"/><Relationship Id="rId19" Type="http://schemas.openxmlformats.org/officeDocument/2006/relationships/hyperlink" Target="http://www.sec.gov/Archives/edgar/data/1770069/000119312526349490/d48818dex41.htm" TargetMode="External"/><Relationship Id="rId20" Type="http://schemas.openxmlformats.org/officeDocument/2006/relationships/hyperlink" Target="http://www.sec.gov/Archives/edgar/data/1770069/000119312525209084/d741179dex101.htm" TargetMode="External"/><Relationship Id="rId21" Type="http://schemas.openxmlformats.org/officeDocument/2006/relationships/hyperlink" Target="http://www.sec.gov/Archives/edgar/data/1770069/000119312525231829/d90027dex102.htm" TargetMode="External"/><Relationship Id="rId22" Type="http://schemas.openxmlformats.org/officeDocument/2006/relationships/hyperlink" Target="http://www.sec.gov/Archives/edgar/data/1770069/000119312525231829/d90027dex103.htm" TargetMode="External"/><Relationship Id="rId23" Type="http://schemas.openxmlformats.org/officeDocument/2006/relationships/hyperlink" Target="http://www.sec.gov/Archives/edgar/data/1770069/000119312525209084/d741179dex104.htm" TargetMode="External"/><Relationship Id="rId24" Type="http://schemas.openxmlformats.org/officeDocument/2006/relationships/hyperlink" Target="http://www.sec.gov/Archives/edgar/data/1770069/000119312525307453/mplt-ex10_5.htm" TargetMode="External"/><Relationship Id="rId25" Type="http://schemas.openxmlformats.org/officeDocument/2006/relationships/hyperlink" Target="http://www.sec.gov/Archives/edgar/data/1770069/000119312525307453/mplt-ex10_7.htm" TargetMode="External"/><Relationship Id="rId26" Type="http://schemas.openxmlformats.org/officeDocument/2006/relationships/hyperlink" Target="http://www.sec.gov/Archives/edgar/data/1770069/000119312526349554/mplt-ex10_1.htm" TargetMode="External"/><Relationship Id="rId27" Type="http://schemas.openxmlformats.org/officeDocument/2006/relationships/hyperlink" Target="http://www.sec.gov/Archives/edgar/data/1770069/000119312525209084/d741179dex1010.htm" TargetMode="External"/><Relationship Id="rId28" Type="http://schemas.openxmlformats.org/officeDocument/2006/relationships/hyperlink" Target="http://www.sec.gov/Archives/edgar/data/1770069/000119312526224129/mplt-ex10_1.htm" TargetMode="External"/><Relationship Id="rId29" Type="http://schemas.openxmlformats.org/officeDocument/2006/relationships/hyperlink" Target="http://www.sec.gov/Archives/edgar/data/1770069/000119312525209084/d741179dex108.htm" TargetMode="External"/><Relationship Id="rId30" Type="http://schemas.openxmlformats.org/officeDocument/2006/relationships/hyperlink" Target="http://www.sec.gov/Archives/edgar/data/1770069/000119312526349490/d48818dex101.htm" TargetMode="External"/><Relationship Id="rId31" Type="http://schemas.openxmlformats.org/officeDocument/2006/relationships/hyperlink" Target="http://www.sec.gov/Archives/edgar/data/1770069/000119312526349490/d48818dex102.htm" TargetMode="External"/><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16272</Words>
  <Characters>88025</Characters>
  <CharactersWithSpaces>104807</CharactersWithSpaces>
  <Paragraphs>1385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